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2CE63" w14:textId="2CBD50B9" w:rsidR="004317EE" w:rsidRPr="00A169BA" w:rsidRDefault="004317EE" w:rsidP="004317EE">
      <w:pPr>
        <w:pStyle w:val="3GPPHeader"/>
        <w:spacing w:after="60"/>
        <w:rPr>
          <w:szCs w:val="24"/>
          <w:highlight w:val="yellow"/>
        </w:rPr>
      </w:pPr>
      <w:r w:rsidRPr="00A169BA">
        <w:rPr>
          <w:szCs w:val="24"/>
        </w:rPr>
        <w:t>3GPP TSG-RAN WG1 Meeting #109-e</w:t>
      </w:r>
      <w:r w:rsidRPr="00A169BA">
        <w:rPr>
          <w:szCs w:val="24"/>
        </w:rPr>
        <w:tab/>
        <w:t>Tdoc R1-2</w:t>
      </w:r>
      <w:r w:rsidR="005E58E1" w:rsidRPr="00A169BA">
        <w:rPr>
          <w:szCs w:val="24"/>
        </w:rPr>
        <w:t>204658</w:t>
      </w:r>
    </w:p>
    <w:p w14:paraId="3C845EFE" w14:textId="77777777" w:rsidR="004317EE" w:rsidRPr="00CE0424" w:rsidRDefault="004317EE" w:rsidP="004317EE">
      <w:pPr>
        <w:pStyle w:val="3GPPHeader"/>
      </w:pPr>
      <w:r w:rsidRPr="00393048">
        <w:t xml:space="preserve">e-Meeting, </w:t>
      </w:r>
      <w:r>
        <w:t>May</w:t>
      </w:r>
      <w:r w:rsidRPr="00393048">
        <w:t xml:space="preserve"> </w:t>
      </w:r>
      <w:r>
        <w:t>9</w:t>
      </w:r>
      <w:r>
        <w:rPr>
          <w:vertAlign w:val="superscript"/>
        </w:rPr>
        <w:t>th</w:t>
      </w:r>
      <w:r w:rsidRPr="00393048">
        <w:t xml:space="preserve"> –</w:t>
      </w:r>
      <w:r>
        <w:t xml:space="preserve"> 20</w:t>
      </w:r>
      <w:r>
        <w:rPr>
          <w:vertAlign w:val="superscript"/>
        </w:rPr>
        <w:t>th</w:t>
      </w:r>
      <w:r w:rsidRPr="00393048">
        <w:t>, 2022</w:t>
      </w:r>
    </w:p>
    <w:p w14:paraId="468E045B" w14:textId="77777777" w:rsidR="00E7243C" w:rsidRPr="00A85EAA" w:rsidRDefault="00E7243C" w:rsidP="00357380">
      <w:pPr>
        <w:pStyle w:val="3GPPHeader"/>
      </w:pPr>
    </w:p>
    <w:p w14:paraId="3C6869D1" w14:textId="3A9BFA46" w:rsidR="00E90E49" w:rsidRPr="00A85EAA" w:rsidRDefault="00E90E49" w:rsidP="00311702">
      <w:pPr>
        <w:pStyle w:val="3GPPHeader"/>
        <w:rPr>
          <w:sz w:val="22"/>
        </w:rPr>
      </w:pPr>
      <w:r w:rsidRPr="00A85EAA">
        <w:rPr>
          <w:sz w:val="22"/>
        </w:rPr>
        <w:t>Agenda Item:</w:t>
      </w:r>
      <w:r w:rsidRPr="00A85EAA">
        <w:rPr>
          <w:sz w:val="22"/>
        </w:rPr>
        <w:tab/>
      </w:r>
      <w:r w:rsidR="00654EC5">
        <w:rPr>
          <w:sz w:val="22"/>
        </w:rPr>
        <w:t>5</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327B47DF" w:rsidR="00E90E49" w:rsidRPr="00A85EAA" w:rsidRDefault="003D3C45" w:rsidP="00311702">
      <w:pPr>
        <w:pStyle w:val="3GPPHeader"/>
        <w:rPr>
          <w:sz w:val="22"/>
        </w:rPr>
      </w:pPr>
      <w:r w:rsidRPr="00A85EAA">
        <w:rPr>
          <w:sz w:val="22"/>
        </w:rPr>
        <w:t>Title:</w:t>
      </w:r>
      <w:r w:rsidR="00E90E49" w:rsidRPr="00A85EAA">
        <w:rPr>
          <w:sz w:val="22"/>
        </w:rPr>
        <w:tab/>
      </w:r>
      <w:r w:rsidR="004D73A8">
        <w:rPr>
          <w:sz w:val="22"/>
        </w:rPr>
        <w:t>Discussion o</w:t>
      </w:r>
      <w:r w:rsidR="00654EC5" w:rsidRPr="00654EC5">
        <w:rPr>
          <w:sz w:val="22"/>
        </w:rPr>
        <w:t xml:space="preserve">n </w:t>
      </w:r>
      <w:r w:rsidR="004D73A8">
        <w:rPr>
          <w:sz w:val="22"/>
        </w:rPr>
        <w:t xml:space="preserve">RAN4 </w:t>
      </w:r>
      <w:r w:rsidR="00F402C7" w:rsidRPr="00F402C7">
        <w:rPr>
          <w:sz w:val="22"/>
        </w:rPr>
        <w:t>LS on combination of open and closed loop TA control in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44DC5D51" w14:textId="3B732724" w:rsidR="00AA37CA" w:rsidRDefault="007434CD" w:rsidP="005100EC">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7145B4">
        <w:rPr>
          <w:rFonts w:ascii="Arial" w:hAnsi="Arial"/>
        </w:rPr>
        <w:t>[1]</w:t>
      </w:r>
      <w:r w:rsidR="0081032C" w:rsidRPr="00A85EAA">
        <w:rPr>
          <w:rFonts w:ascii="Arial" w:hAnsi="Arial"/>
        </w:rPr>
        <w:fldChar w:fldCharType="end"/>
      </w:r>
      <w:r w:rsidRPr="00A85EAA">
        <w:rPr>
          <w:rFonts w:ascii="Arial" w:hAnsi="Arial"/>
        </w:rPr>
        <w:t>.</w:t>
      </w:r>
    </w:p>
    <w:p w14:paraId="0A75B14D" w14:textId="3E1C5BC1" w:rsidR="00AA37CA" w:rsidRDefault="00571258" w:rsidP="005100EC">
      <w:pPr>
        <w:jc w:val="both"/>
        <w:rPr>
          <w:rFonts w:ascii="Arial" w:hAnsi="Arial"/>
        </w:rPr>
      </w:pPr>
      <w:r>
        <w:rPr>
          <w:rFonts w:ascii="Arial" w:hAnsi="Arial"/>
        </w:rPr>
        <w:t xml:space="preserve">At RAN1#106b-e, RAN1 sent an LS </w:t>
      </w:r>
      <w:r>
        <w:rPr>
          <w:rFonts w:ascii="Arial" w:hAnsi="Arial"/>
        </w:rPr>
        <w:fldChar w:fldCharType="begin"/>
      </w:r>
      <w:r>
        <w:rPr>
          <w:rFonts w:ascii="Arial" w:hAnsi="Arial"/>
        </w:rPr>
        <w:instrText xml:space="preserve"> REF _Ref101426053 \r \h </w:instrText>
      </w:r>
      <w:r w:rsidR="005100EC">
        <w:rPr>
          <w:rFonts w:ascii="Arial" w:hAnsi="Arial"/>
        </w:rPr>
        <w:instrText xml:space="preserve"> \* MERGEFORMAT </w:instrText>
      </w:r>
      <w:r>
        <w:rPr>
          <w:rFonts w:ascii="Arial" w:hAnsi="Arial"/>
        </w:rPr>
      </w:r>
      <w:r>
        <w:rPr>
          <w:rFonts w:ascii="Arial" w:hAnsi="Arial"/>
        </w:rPr>
        <w:fldChar w:fldCharType="separate"/>
      </w:r>
      <w:r w:rsidR="007145B4">
        <w:rPr>
          <w:rFonts w:ascii="Arial" w:hAnsi="Arial"/>
        </w:rPr>
        <w:t>[2]</w:t>
      </w:r>
      <w:r>
        <w:rPr>
          <w:rFonts w:ascii="Arial" w:hAnsi="Arial"/>
        </w:rPr>
        <w:fldChar w:fldCharType="end"/>
      </w:r>
      <w:r>
        <w:rPr>
          <w:rFonts w:ascii="Arial" w:hAnsi="Arial"/>
        </w:rPr>
        <w:t xml:space="preserve"> to RAN4. A </w:t>
      </w:r>
      <w:r w:rsidR="00C745FB">
        <w:rPr>
          <w:rFonts w:ascii="Arial" w:hAnsi="Arial"/>
        </w:rPr>
        <w:t xml:space="preserve">first reply LS from RAN4 was provided in </w:t>
      </w:r>
      <w:r w:rsidR="00C745FB">
        <w:rPr>
          <w:rFonts w:ascii="Arial" w:hAnsi="Arial"/>
        </w:rPr>
        <w:fldChar w:fldCharType="begin"/>
      </w:r>
      <w:r w:rsidR="00C745FB">
        <w:rPr>
          <w:rFonts w:ascii="Arial" w:hAnsi="Arial"/>
        </w:rPr>
        <w:instrText xml:space="preserve"> REF _Ref101426021 \r \h </w:instrText>
      </w:r>
      <w:r w:rsidR="005100EC">
        <w:rPr>
          <w:rFonts w:ascii="Arial" w:hAnsi="Arial"/>
        </w:rPr>
        <w:instrText xml:space="preserve"> \* MERGEFORMAT </w:instrText>
      </w:r>
      <w:r w:rsidR="00C745FB">
        <w:rPr>
          <w:rFonts w:ascii="Arial" w:hAnsi="Arial"/>
        </w:rPr>
      </w:r>
      <w:r w:rsidR="00C745FB">
        <w:rPr>
          <w:rFonts w:ascii="Arial" w:hAnsi="Arial"/>
        </w:rPr>
        <w:fldChar w:fldCharType="separate"/>
      </w:r>
      <w:r w:rsidR="007145B4">
        <w:rPr>
          <w:rFonts w:ascii="Arial" w:hAnsi="Arial"/>
        </w:rPr>
        <w:t>[3]</w:t>
      </w:r>
      <w:r w:rsidR="00C745FB">
        <w:rPr>
          <w:rFonts w:ascii="Arial" w:hAnsi="Arial"/>
        </w:rPr>
        <w:fldChar w:fldCharType="end"/>
      </w:r>
      <w:r w:rsidR="001F6BC1">
        <w:rPr>
          <w:rFonts w:ascii="Arial" w:hAnsi="Arial"/>
        </w:rPr>
        <w:t xml:space="preserve"> at RAN1#</w:t>
      </w:r>
      <w:r w:rsidR="00DB77A9">
        <w:rPr>
          <w:rFonts w:ascii="Arial" w:hAnsi="Arial"/>
        </w:rPr>
        <w:t>108-e</w:t>
      </w:r>
      <w:r w:rsidR="00C745FB">
        <w:rPr>
          <w:rFonts w:ascii="Arial" w:hAnsi="Arial"/>
        </w:rPr>
        <w:t xml:space="preserve">. A final </w:t>
      </w:r>
      <w:r>
        <w:rPr>
          <w:rFonts w:ascii="Arial" w:hAnsi="Arial"/>
        </w:rPr>
        <w:t>reply LS is no</w:t>
      </w:r>
      <w:r w:rsidR="00C745FB">
        <w:rPr>
          <w:rFonts w:ascii="Arial" w:hAnsi="Arial"/>
        </w:rPr>
        <w:t>w</w:t>
      </w:r>
      <w:r>
        <w:rPr>
          <w:rFonts w:ascii="Arial" w:hAnsi="Arial"/>
        </w:rPr>
        <w:t xml:space="preserve"> available in</w:t>
      </w:r>
      <w:r w:rsidR="00C745FB">
        <w:rPr>
          <w:rFonts w:ascii="Arial" w:hAnsi="Arial"/>
        </w:rPr>
        <w:t xml:space="preserve"> </w:t>
      </w:r>
      <w:r w:rsidR="00C745FB">
        <w:rPr>
          <w:rFonts w:ascii="Arial" w:hAnsi="Arial"/>
        </w:rPr>
        <w:fldChar w:fldCharType="begin"/>
      </w:r>
      <w:r w:rsidR="00C745FB">
        <w:rPr>
          <w:rFonts w:ascii="Arial" w:hAnsi="Arial"/>
        </w:rPr>
        <w:instrText xml:space="preserve"> REF _Ref101427135 \r \h </w:instrText>
      </w:r>
      <w:r w:rsidR="005100EC">
        <w:rPr>
          <w:rFonts w:ascii="Arial" w:hAnsi="Arial"/>
        </w:rPr>
        <w:instrText xml:space="preserve"> \* MERGEFORMAT </w:instrText>
      </w:r>
      <w:r w:rsidR="00C745FB">
        <w:rPr>
          <w:rFonts w:ascii="Arial" w:hAnsi="Arial"/>
        </w:rPr>
      </w:r>
      <w:r w:rsidR="00C745FB">
        <w:rPr>
          <w:rFonts w:ascii="Arial" w:hAnsi="Arial"/>
        </w:rPr>
        <w:fldChar w:fldCharType="separate"/>
      </w:r>
      <w:r w:rsidR="007145B4">
        <w:rPr>
          <w:rFonts w:ascii="Arial" w:hAnsi="Arial"/>
        </w:rPr>
        <w:t>[4]</w:t>
      </w:r>
      <w:r w:rsidR="00C745FB">
        <w:rPr>
          <w:rFonts w:ascii="Arial" w:hAnsi="Arial"/>
        </w:rPr>
        <w:fldChar w:fldCharType="end"/>
      </w:r>
      <w:r>
        <w:rPr>
          <w:rFonts w:ascii="Arial" w:hAnsi="Arial"/>
        </w:rPr>
        <w:t>.</w:t>
      </w:r>
    </w:p>
    <w:p w14:paraId="38528257" w14:textId="619CC22D" w:rsidR="0036775A" w:rsidRDefault="0036775A" w:rsidP="005100EC">
      <w:pPr>
        <w:jc w:val="both"/>
        <w:rPr>
          <w:rFonts w:ascii="Arial" w:hAnsi="Arial"/>
        </w:rPr>
      </w:pPr>
      <w:r>
        <w:rPr>
          <w:rFonts w:ascii="Arial" w:hAnsi="Arial"/>
        </w:rPr>
        <w:t xml:space="preserve">In this contribution, we provide comments on the </w:t>
      </w:r>
      <w:r w:rsidR="00406443">
        <w:rPr>
          <w:rFonts w:ascii="Arial" w:hAnsi="Arial"/>
        </w:rPr>
        <w:t xml:space="preserve">final </w:t>
      </w:r>
      <w:r>
        <w:rPr>
          <w:rFonts w:ascii="Arial" w:hAnsi="Arial"/>
        </w:rPr>
        <w:t>reply LS from RAN4.</w:t>
      </w:r>
    </w:p>
    <w:p w14:paraId="007B24E9" w14:textId="6616D9B1" w:rsidR="009C2AD8" w:rsidRDefault="009C2AD8" w:rsidP="009C2AD8">
      <w:pPr>
        <w:pStyle w:val="Heading1"/>
        <w:rPr>
          <w:lang w:val="en-US"/>
        </w:rPr>
      </w:pPr>
      <w:r>
        <w:rPr>
          <w:lang w:val="en-US"/>
        </w:rPr>
        <w:t>2</w:t>
      </w:r>
      <w:r w:rsidRPr="00A85EAA">
        <w:rPr>
          <w:lang w:val="en-US"/>
        </w:rPr>
        <w:tab/>
      </w:r>
      <w:r w:rsidR="00A5260F">
        <w:rPr>
          <w:lang w:val="en-US"/>
        </w:rPr>
        <w:t>Discussion</w:t>
      </w:r>
    </w:p>
    <w:p w14:paraId="361E866B" w14:textId="46F15096" w:rsidR="005C66ED" w:rsidRDefault="00227B4C" w:rsidP="00E855C7">
      <w:pPr>
        <w:jc w:val="both"/>
        <w:rPr>
          <w:rFonts w:ascii="Arial" w:hAnsi="Arial"/>
        </w:rPr>
      </w:pPr>
      <w:r>
        <w:t xml:space="preserve">In </w:t>
      </w:r>
      <w:r>
        <w:rPr>
          <w:rFonts w:ascii="Arial" w:hAnsi="Arial"/>
        </w:rPr>
        <w:fldChar w:fldCharType="begin"/>
      </w:r>
      <w:r>
        <w:rPr>
          <w:rFonts w:ascii="Arial" w:hAnsi="Arial"/>
        </w:rPr>
        <w:instrText xml:space="preserve"> REF _Ref101426053 \r \h </w:instrText>
      </w:r>
      <w:r>
        <w:rPr>
          <w:rFonts w:ascii="Arial" w:hAnsi="Arial"/>
        </w:rPr>
      </w:r>
      <w:r>
        <w:rPr>
          <w:rFonts w:ascii="Arial" w:hAnsi="Arial"/>
        </w:rPr>
        <w:fldChar w:fldCharType="separate"/>
      </w:r>
      <w:r w:rsidR="007145B4">
        <w:rPr>
          <w:rFonts w:ascii="Arial" w:hAnsi="Arial"/>
        </w:rPr>
        <w:t>[2]</w:t>
      </w:r>
      <w:r>
        <w:rPr>
          <w:rFonts w:ascii="Arial" w:hAnsi="Arial"/>
        </w:rPr>
        <w:fldChar w:fldCharType="end"/>
      </w:r>
      <w:r>
        <w:rPr>
          <w:rFonts w:ascii="Arial" w:hAnsi="Arial"/>
        </w:rPr>
        <w:t>, RAN1 described the issue of so called double-correction that may occur when open-loop and closed-loop TA control are used in parallel in RRC_CONNECTED state.</w:t>
      </w:r>
    </w:p>
    <w:p w14:paraId="4593D23E" w14:textId="4098A66E" w:rsidR="00227B4C" w:rsidRDefault="00227B4C" w:rsidP="00E855C7">
      <w:pPr>
        <w:jc w:val="both"/>
        <w:rPr>
          <w:rFonts w:ascii="Arial" w:hAnsi="Arial"/>
        </w:rPr>
      </w:pPr>
      <w:r>
        <w:rPr>
          <w:rFonts w:ascii="Arial" w:hAnsi="Arial"/>
        </w:rPr>
        <w:t xml:space="preserve">In </w:t>
      </w:r>
      <w:r w:rsidR="00E53A7B">
        <w:rPr>
          <w:rFonts w:ascii="Arial" w:hAnsi="Arial"/>
        </w:rPr>
        <w:fldChar w:fldCharType="begin"/>
      </w:r>
      <w:r w:rsidR="00E53A7B">
        <w:rPr>
          <w:rFonts w:ascii="Arial" w:hAnsi="Arial"/>
        </w:rPr>
        <w:instrText xml:space="preserve"> REF _Ref101426021 \r \h </w:instrText>
      </w:r>
      <w:r w:rsidR="00E53A7B">
        <w:rPr>
          <w:rFonts w:ascii="Arial" w:hAnsi="Arial"/>
        </w:rPr>
      </w:r>
      <w:r w:rsidR="00E53A7B">
        <w:rPr>
          <w:rFonts w:ascii="Arial" w:hAnsi="Arial"/>
        </w:rPr>
        <w:fldChar w:fldCharType="separate"/>
      </w:r>
      <w:r w:rsidR="007145B4">
        <w:rPr>
          <w:rFonts w:ascii="Arial" w:hAnsi="Arial"/>
        </w:rPr>
        <w:t>[3]</w:t>
      </w:r>
      <w:r w:rsidR="00E53A7B">
        <w:rPr>
          <w:rFonts w:ascii="Arial" w:hAnsi="Arial"/>
        </w:rPr>
        <w:fldChar w:fldCharType="end"/>
      </w:r>
      <w:r w:rsidR="00B33DB0">
        <w:rPr>
          <w:rFonts w:ascii="Arial" w:hAnsi="Arial"/>
        </w:rPr>
        <w:t>, RAN4 gave a first reply, listing two options for how to solve the issue with double-correction.</w:t>
      </w:r>
    </w:p>
    <w:p w14:paraId="62975761" w14:textId="54282F3D" w:rsidR="00227B4C" w:rsidRPr="00227B4C" w:rsidRDefault="00227B4C" w:rsidP="00E855C7">
      <w:pPr>
        <w:jc w:val="both"/>
        <w:rPr>
          <w:rFonts w:ascii="Arial" w:hAnsi="Arial"/>
        </w:rPr>
      </w:pPr>
      <w:r>
        <w:rPr>
          <w:rFonts w:ascii="Arial" w:hAnsi="Arial"/>
        </w:rPr>
        <w:t xml:space="preserve">In </w:t>
      </w:r>
      <w:r w:rsidR="00E53A7B">
        <w:rPr>
          <w:rFonts w:ascii="Arial" w:hAnsi="Arial"/>
        </w:rPr>
        <w:fldChar w:fldCharType="begin"/>
      </w:r>
      <w:r w:rsidR="00E53A7B">
        <w:rPr>
          <w:rFonts w:ascii="Arial" w:hAnsi="Arial"/>
        </w:rPr>
        <w:instrText xml:space="preserve"> REF _Ref101427135 \r \h </w:instrText>
      </w:r>
      <w:r w:rsidR="00E53A7B">
        <w:rPr>
          <w:rFonts w:ascii="Arial" w:hAnsi="Arial"/>
        </w:rPr>
      </w:r>
      <w:r w:rsidR="00E53A7B">
        <w:rPr>
          <w:rFonts w:ascii="Arial" w:hAnsi="Arial"/>
        </w:rPr>
        <w:fldChar w:fldCharType="separate"/>
      </w:r>
      <w:r w:rsidR="007145B4">
        <w:rPr>
          <w:rFonts w:ascii="Arial" w:hAnsi="Arial"/>
        </w:rPr>
        <w:t>[4]</w:t>
      </w:r>
      <w:r w:rsidR="00E53A7B">
        <w:rPr>
          <w:rFonts w:ascii="Arial" w:hAnsi="Arial"/>
        </w:rPr>
        <w:fldChar w:fldCharType="end"/>
      </w:r>
      <w:r>
        <w:rPr>
          <w:rFonts w:ascii="Arial" w:hAnsi="Arial"/>
        </w:rPr>
        <w:t xml:space="preserve">, RAN4 informs RAN1 that they have agreed </w:t>
      </w:r>
      <w:r w:rsidRPr="00227B4C">
        <w:rPr>
          <w:rFonts w:ascii="Arial" w:eastAsia="Times New Roman" w:hAnsi="Arial" w:cs="Arial"/>
        </w:rPr>
        <w:t xml:space="preserve">to use a framework of gradual timing adjustment requirement to alleviate the impact of double-correction in NTN, i.e. Option 2 in </w:t>
      </w:r>
      <w:r w:rsidR="00B33DB0">
        <w:rPr>
          <w:rFonts w:ascii="Arial" w:hAnsi="Arial"/>
        </w:rPr>
        <w:fldChar w:fldCharType="begin"/>
      </w:r>
      <w:r w:rsidR="00B33DB0">
        <w:rPr>
          <w:rFonts w:ascii="Arial" w:hAnsi="Arial"/>
        </w:rPr>
        <w:instrText xml:space="preserve"> REF _Ref101426021 \r \h </w:instrText>
      </w:r>
      <w:r w:rsidR="00B33DB0">
        <w:rPr>
          <w:rFonts w:ascii="Arial" w:hAnsi="Arial"/>
        </w:rPr>
      </w:r>
      <w:r w:rsidR="00B33DB0">
        <w:rPr>
          <w:rFonts w:ascii="Arial" w:hAnsi="Arial"/>
        </w:rPr>
        <w:fldChar w:fldCharType="separate"/>
      </w:r>
      <w:r w:rsidR="007145B4">
        <w:rPr>
          <w:rFonts w:ascii="Arial" w:hAnsi="Arial"/>
        </w:rPr>
        <w:t>[3]</w:t>
      </w:r>
      <w:r w:rsidR="00B33DB0">
        <w:rPr>
          <w:rFonts w:ascii="Arial" w:hAnsi="Arial"/>
        </w:rPr>
        <w:fldChar w:fldCharType="end"/>
      </w:r>
      <w:r w:rsidRPr="00227B4C">
        <w:rPr>
          <w:rFonts w:ascii="Arial" w:eastAsia="Times New Roman" w:hAnsi="Arial" w:cs="Arial"/>
        </w:rPr>
        <w:t>. The gradual timing adjustment requirement for NTN U</w:t>
      </w:r>
      <w:r>
        <w:rPr>
          <w:rFonts w:ascii="Arial" w:eastAsia="Times New Roman" w:hAnsi="Arial" w:cs="Arial"/>
        </w:rPr>
        <w:t>E</w:t>
      </w:r>
      <w:r w:rsidRPr="00227B4C">
        <w:rPr>
          <w:rFonts w:ascii="Arial" w:eastAsia="Times New Roman" w:hAnsi="Arial" w:cs="Arial"/>
        </w:rPr>
        <w:t>s</w:t>
      </w:r>
      <w:r>
        <w:rPr>
          <w:rFonts w:ascii="Arial" w:eastAsia="Times New Roman" w:hAnsi="Arial" w:cs="Arial"/>
        </w:rPr>
        <w:t xml:space="preserve"> is described as follows in the reply LS:</w:t>
      </w:r>
    </w:p>
    <w:p w14:paraId="63000FFC" w14:textId="77777777" w:rsidR="00227B4C" w:rsidRPr="00227B4C" w:rsidRDefault="00227B4C" w:rsidP="00227B4C">
      <w:pPr>
        <w:pStyle w:val="TAL"/>
        <w:rPr>
          <w:rFonts w:eastAsia="PMingLiU" w:cs="Arial"/>
          <w:sz w:val="20"/>
          <w:szCs w:val="20"/>
        </w:rPr>
      </w:pPr>
    </w:p>
    <w:p w14:paraId="14721808" w14:textId="77777777" w:rsidR="00227B4C" w:rsidRPr="00245EF7" w:rsidRDefault="00227B4C" w:rsidP="00245EF7">
      <w:pPr>
        <w:widowControl w:val="0"/>
        <w:spacing w:after="240" w:line="240" w:lineRule="auto"/>
        <w:ind w:left="567"/>
        <w:jc w:val="both"/>
        <w:rPr>
          <w:rFonts w:ascii="Arial" w:hAnsi="Arial" w:cs="Arial"/>
          <w:b/>
          <w:bCs/>
          <w:color w:val="4472C4" w:themeColor="accent1"/>
          <w:u w:val="single"/>
        </w:rPr>
      </w:pPr>
      <w:r w:rsidRPr="00245EF7">
        <w:rPr>
          <w:rFonts w:ascii="Arial" w:hAnsi="Arial" w:cs="Arial"/>
          <w:b/>
          <w:bCs/>
          <w:color w:val="4472C4" w:themeColor="accent1"/>
          <w:u w:val="single"/>
        </w:rPr>
        <w:t>Gradual timing adjustment requirement</w:t>
      </w:r>
    </w:p>
    <w:p w14:paraId="7810AA71" w14:textId="77777777" w:rsidR="00227B4C" w:rsidRPr="00245EF7" w:rsidRDefault="00227B4C" w:rsidP="00245EF7">
      <w:pPr>
        <w:widowControl w:val="0"/>
        <w:spacing w:after="240" w:line="240" w:lineRule="auto"/>
        <w:ind w:left="567"/>
        <w:jc w:val="both"/>
        <w:rPr>
          <w:rFonts w:ascii="Arial" w:hAnsi="Arial" w:cs="Arial"/>
          <w:b/>
          <w:bCs/>
          <w:color w:val="4472C4" w:themeColor="accent1"/>
        </w:rPr>
      </w:pPr>
      <w:r w:rsidRPr="00245EF7">
        <w:rPr>
          <w:rFonts w:ascii="Arial" w:hAnsi="Arial" w:cs="Arial"/>
          <w:b/>
          <w:bCs/>
          <w:color w:val="4472C4" w:themeColor="accent1"/>
        </w:rPr>
        <w:t>Agreement:</w:t>
      </w:r>
    </w:p>
    <w:p w14:paraId="3267B274" w14:textId="77777777" w:rsidR="00227B4C" w:rsidRPr="00245EF7" w:rsidRDefault="00227B4C" w:rsidP="00245EF7">
      <w:pPr>
        <w:pStyle w:val="ListParagraph"/>
        <w:numPr>
          <w:ilvl w:val="2"/>
          <w:numId w:val="47"/>
        </w:numPr>
        <w:spacing w:after="120" w:line="252" w:lineRule="auto"/>
        <w:ind w:left="1827"/>
        <w:rPr>
          <w:rFonts w:ascii="Arial" w:hAnsi="Arial" w:cs="Arial"/>
          <w:color w:val="4472C4" w:themeColor="accent1"/>
          <w:lang w:eastAsia="ja-JP"/>
        </w:rPr>
      </w:pPr>
      <w:r w:rsidRPr="00245EF7">
        <w:rPr>
          <w:rFonts w:ascii="Arial" w:eastAsia="DengXian" w:hAnsi="Arial" w:cs="Arial"/>
          <w:color w:val="4472C4" w:themeColor="accent1"/>
        </w:rPr>
        <w:t>When the transmission timing error between the UE and the reference timing exceeds ±T</w:t>
      </w:r>
      <w:r w:rsidRPr="00245EF7">
        <w:rPr>
          <w:rFonts w:ascii="Arial" w:eastAsia="DengXian" w:hAnsi="Arial" w:cs="Arial"/>
          <w:color w:val="4472C4" w:themeColor="accent1"/>
          <w:vertAlign w:val="subscript"/>
        </w:rPr>
        <w:t>e_NTN</w:t>
      </w:r>
      <w:r w:rsidRPr="00245EF7">
        <w:rPr>
          <w:rFonts w:ascii="Arial" w:eastAsia="DengXian" w:hAnsi="Arial" w:cs="Arial"/>
          <w:color w:val="4472C4" w:themeColor="accent1"/>
        </w:rPr>
        <w:t xml:space="preserve"> then the UE is required to adjust its timing to within ±T</w:t>
      </w:r>
      <w:r w:rsidRPr="00245EF7">
        <w:rPr>
          <w:rFonts w:ascii="Arial" w:eastAsia="DengXian" w:hAnsi="Arial" w:cs="Arial"/>
          <w:color w:val="4472C4" w:themeColor="accent1"/>
          <w:vertAlign w:val="subscript"/>
        </w:rPr>
        <w:t>e_NTN</w:t>
      </w:r>
      <w:r w:rsidRPr="00245EF7">
        <w:rPr>
          <w:rFonts w:ascii="Arial" w:eastAsia="DengXian" w:hAnsi="Arial" w:cs="Arial"/>
          <w:color w:val="4472C4" w:themeColor="accent1"/>
        </w:rPr>
        <w:t>.</w:t>
      </w:r>
      <w:r w:rsidRPr="00245EF7">
        <w:rPr>
          <w:rFonts w:ascii="Arial" w:hAnsi="Arial" w:cs="Arial"/>
          <w:color w:val="4472C4" w:themeColor="accent1"/>
        </w:rPr>
        <w:t xml:space="preserve"> </w:t>
      </w:r>
    </w:p>
    <w:p w14:paraId="4F35DA4A" w14:textId="77777777" w:rsidR="00227B4C" w:rsidRPr="00245EF7" w:rsidRDefault="00227B4C" w:rsidP="00245EF7">
      <w:pPr>
        <w:pStyle w:val="ListParagraph"/>
        <w:numPr>
          <w:ilvl w:val="2"/>
          <w:numId w:val="47"/>
        </w:numPr>
        <w:spacing w:after="120" w:line="252" w:lineRule="auto"/>
        <w:ind w:left="1827"/>
        <w:rPr>
          <w:rFonts w:ascii="Arial" w:eastAsia="DengXian" w:hAnsi="Arial" w:cs="Arial"/>
          <w:color w:val="4472C4" w:themeColor="accent1"/>
        </w:rPr>
      </w:pPr>
      <w:r w:rsidRPr="00245EF7">
        <w:rPr>
          <w:rFonts w:ascii="Arial" w:eastAsia="DengXian" w:hAnsi="Arial" w:cs="Arial"/>
          <w:color w:val="4472C4" w:themeColor="accent1"/>
        </w:rPr>
        <w:t>The reference</w:t>
      </w:r>
      <w:r w:rsidRPr="00245EF7">
        <w:rPr>
          <w:rFonts w:ascii="Arial" w:hAnsi="Arial" w:cs="Arial"/>
          <w:color w:val="4472C4" w:themeColor="accent1"/>
        </w:rPr>
        <w:t xml:space="preserve"> </w:t>
      </w:r>
      <w:r w:rsidRPr="00245EF7">
        <w:rPr>
          <w:rFonts w:ascii="Arial" w:eastAsia="DengXian" w:hAnsi="Arial" w:cs="Arial"/>
          <w:color w:val="4472C4" w:themeColor="accent1"/>
        </w:rPr>
        <w:t>timing</w:t>
      </w:r>
      <w:r w:rsidRPr="00245EF7">
        <w:rPr>
          <w:rFonts w:ascii="Arial" w:hAnsi="Arial" w:cs="Arial"/>
          <w:color w:val="4472C4" w:themeColor="accent1"/>
        </w:rPr>
        <w:t xml:space="preserve"> </w:t>
      </w:r>
      <w:r w:rsidRPr="00245EF7">
        <w:rPr>
          <w:rFonts w:ascii="Arial" w:eastAsia="DengXian" w:hAnsi="Arial" w:cs="Arial"/>
          <w:color w:val="4472C4" w:themeColor="accent1"/>
        </w:rPr>
        <w:t>shall be</w:t>
      </w:r>
      <w:r w:rsidRPr="00245EF7">
        <w:rPr>
          <w:rFonts w:ascii="Arial" w:hAnsi="Arial" w:cs="Arial"/>
          <w:color w:val="4472C4" w:themeColor="accent1"/>
        </w:rPr>
        <w:t xml:space="preserve"> </w:t>
      </w:r>
      <w:r w:rsidRPr="00245EF7">
        <w:rPr>
          <w:rFonts w:ascii="Arial" w:eastAsia="DengXian" w:hAnsi="Arial" w:cs="Arial"/>
          <w:color w:val="4472C4" w:themeColor="accent1"/>
        </w:rPr>
        <w:t>(N</w:t>
      </w:r>
      <w:r w:rsidRPr="00245EF7">
        <w:rPr>
          <w:rFonts w:ascii="Arial" w:eastAsia="DengXian" w:hAnsi="Arial" w:cs="Arial"/>
          <w:color w:val="4472C4" w:themeColor="accent1"/>
          <w:vertAlign w:val="subscript"/>
        </w:rPr>
        <w:t>TA</w:t>
      </w:r>
      <w:r w:rsidRPr="00245EF7">
        <w:rPr>
          <w:rFonts w:ascii="Arial" w:eastAsia="DengXian" w:hAnsi="Arial" w:cs="Arial"/>
          <w:color w:val="4472C4" w:themeColor="accent1"/>
        </w:rPr>
        <w:t>+N</w:t>
      </w:r>
      <w:r w:rsidRPr="00245EF7">
        <w:rPr>
          <w:rFonts w:ascii="Arial" w:eastAsia="DengXian" w:hAnsi="Arial" w:cs="Arial"/>
          <w:color w:val="4472C4" w:themeColor="accent1"/>
          <w:vertAlign w:val="subscript"/>
        </w:rPr>
        <w:t>TA,UE-specific</w:t>
      </w:r>
      <w:r w:rsidRPr="00245EF7">
        <w:rPr>
          <w:rFonts w:ascii="Arial" w:eastAsia="DengXian" w:hAnsi="Arial" w:cs="Arial"/>
          <w:color w:val="4472C4" w:themeColor="accent1"/>
        </w:rPr>
        <w:t>+N</w:t>
      </w:r>
      <w:r w:rsidRPr="00245EF7">
        <w:rPr>
          <w:rFonts w:ascii="Arial" w:eastAsia="DengXian" w:hAnsi="Arial" w:cs="Arial"/>
          <w:color w:val="4472C4" w:themeColor="accent1"/>
          <w:vertAlign w:val="subscript"/>
        </w:rPr>
        <w:t>TA,common</w:t>
      </w:r>
      <w:r w:rsidRPr="00245EF7">
        <w:rPr>
          <w:rFonts w:ascii="Arial" w:eastAsia="DengXian" w:hAnsi="Arial" w:cs="Arial"/>
          <w:color w:val="4472C4" w:themeColor="accent1"/>
        </w:rPr>
        <w:t>+N</w:t>
      </w:r>
      <w:r w:rsidRPr="00245EF7">
        <w:rPr>
          <w:rFonts w:ascii="Arial" w:eastAsia="DengXian" w:hAnsi="Arial" w:cs="Arial"/>
          <w:color w:val="4472C4" w:themeColor="accent1"/>
          <w:vertAlign w:val="subscript"/>
        </w:rPr>
        <w:t>TA,offset</w:t>
      </w:r>
      <w:r w:rsidRPr="00245EF7">
        <w:rPr>
          <w:rFonts w:ascii="Arial" w:eastAsia="DengXian" w:hAnsi="Arial" w:cs="Arial"/>
          <w:color w:val="4472C4" w:themeColor="accent1"/>
        </w:rPr>
        <w:t>)×T</w:t>
      </w:r>
      <w:r w:rsidRPr="00245EF7">
        <w:rPr>
          <w:rFonts w:ascii="Arial" w:eastAsia="DengXian" w:hAnsi="Arial" w:cs="Arial"/>
          <w:color w:val="4472C4" w:themeColor="accent1"/>
          <w:vertAlign w:val="subscript"/>
        </w:rPr>
        <w:t>c</w:t>
      </w:r>
      <w:r w:rsidRPr="00245EF7">
        <w:rPr>
          <w:rFonts w:ascii="Arial" w:eastAsia="DengXian" w:hAnsi="Arial" w:cs="Arial"/>
          <w:color w:val="4472C4" w:themeColor="accent1"/>
        </w:rPr>
        <w:t xml:space="preserve"> before the downlink timing of the reference cell. </w:t>
      </w:r>
    </w:p>
    <w:p w14:paraId="60043407" w14:textId="77777777" w:rsidR="00227B4C" w:rsidRPr="00245EF7" w:rsidRDefault="00227B4C" w:rsidP="00245EF7">
      <w:pPr>
        <w:pStyle w:val="ListParagraph"/>
        <w:numPr>
          <w:ilvl w:val="2"/>
          <w:numId w:val="47"/>
        </w:numPr>
        <w:spacing w:after="120" w:line="252" w:lineRule="auto"/>
        <w:ind w:left="1827"/>
        <w:rPr>
          <w:rFonts w:ascii="Arial" w:hAnsi="Arial" w:cs="Arial"/>
          <w:color w:val="4472C4" w:themeColor="accent1"/>
          <w:lang w:eastAsia="ja-JP"/>
        </w:rPr>
      </w:pPr>
      <w:r w:rsidRPr="00245EF7">
        <w:rPr>
          <w:rFonts w:ascii="Arial" w:eastAsia="DengXian" w:hAnsi="Arial" w:cs="Arial"/>
          <w:color w:val="4472C4" w:themeColor="accent1"/>
        </w:rPr>
        <w:t>All adjustments made to the UE uplink timing shall follow these rules:</w:t>
      </w:r>
    </w:p>
    <w:p w14:paraId="1C4CE702" w14:textId="77777777" w:rsidR="00227B4C" w:rsidRPr="00245EF7" w:rsidRDefault="00227B4C" w:rsidP="00245EF7">
      <w:pPr>
        <w:numPr>
          <w:ilvl w:val="3"/>
          <w:numId w:val="47"/>
        </w:numPr>
        <w:spacing w:after="120" w:line="240" w:lineRule="auto"/>
        <w:ind w:left="2247"/>
        <w:rPr>
          <w:rFonts w:ascii="Arial" w:hAnsi="Arial" w:cs="Arial"/>
          <w:color w:val="4472C4" w:themeColor="accent1"/>
        </w:rPr>
      </w:pPr>
      <w:r w:rsidRPr="00245EF7">
        <w:rPr>
          <w:rFonts w:ascii="Arial" w:hAnsi="Arial" w:cs="Arial"/>
          <w:color w:val="4472C4" w:themeColor="accent1"/>
        </w:rPr>
        <w:t xml:space="preserve">The maximum amount of the magnitude of the timing change, apart from a </w:t>
      </w:r>
      <w:bookmarkStart w:id="0" w:name="_Hlk101427697"/>
      <w:r w:rsidRPr="00245EF7">
        <w:rPr>
          <w:rFonts w:ascii="Arial" w:hAnsi="Arial" w:cs="Arial"/>
          <w:color w:val="4472C4" w:themeColor="accent1"/>
        </w:rPr>
        <w:t>change of N</w:t>
      </w:r>
      <w:r w:rsidRPr="00245EF7">
        <w:rPr>
          <w:rFonts w:ascii="Arial" w:hAnsi="Arial" w:cs="Arial"/>
          <w:color w:val="4472C4" w:themeColor="accent1"/>
          <w:vertAlign w:val="subscript"/>
        </w:rPr>
        <w:t>TA,UE-specific</w:t>
      </w:r>
      <w:r w:rsidRPr="00245EF7">
        <w:rPr>
          <w:rFonts w:ascii="Arial" w:hAnsi="Arial" w:cs="Arial"/>
          <w:color w:val="4472C4" w:themeColor="accent1"/>
        </w:rPr>
        <w:t xml:space="preserve"> due to satellite position update and N</w:t>
      </w:r>
      <w:r w:rsidRPr="00245EF7">
        <w:rPr>
          <w:rFonts w:ascii="Arial" w:hAnsi="Arial" w:cs="Arial"/>
          <w:color w:val="4472C4" w:themeColor="accent1"/>
          <w:vertAlign w:val="subscript"/>
        </w:rPr>
        <w:t>TA,common</w:t>
      </w:r>
      <w:bookmarkEnd w:id="0"/>
      <w:r w:rsidRPr="00245EF7">
        <w:rPr>
          <w:rFonts w:ascii="Arial" w:hAnsi="Arial" w:cs="Arial"/>
          <w:color w:val="4472C4" w:themeColor="accent1"/>
        </w:rPr>
        <w:t xml:space="preserve"> between the previous transmission and the current transmission, in one adjustment shall be T</w:t>
      </w:r>
      <w:r w:rsidRPr="00245EF7">
        <w:rPr>
          <w:rFonts w:ascii="Arial" w:hAnsi="Arial" w:cs="Arial"/>
          <w:color w:val="4472C4" w:themeColor="accent1"/>
          <w:vertAlign w:val="subscript"/>
        </w:rPr>
        <w:t>q</w:t>
      </w:r>
      <w:r w:rsidRPr="00245EF7">
        <w:rPr>
          <w:rFonts w:ascii="Arial" w:hAnsi="Arial" w:cs="Arial"/>
          <w:color w:val="4472C4" w:themeColor="accent1"/>
        </w:rPr>
        <w:t>.</w:t>
      </w:r>
    </w:p>
    <w:p w14:paraId="4D46F1DF" w14:textId="77777777" w:rsidR="00227B4C" w:rsidRPr="00245EF7" w:rsidRDefault="00227B4C" w:rsidP="00245EF7">
      <w:pPr>
        <w:numPr>
          <w:ilvl w:val="3"/>
          <w:numId w:val="47"/>
        </w:numPr>
        <w:spacing w:after="120" w:line="240" w:lineRule="auto"/>
        <w:ind w:left="2247"/>
        <w:rPr>
          <w:rFonts w:ascii="Arial" w:hAnsi="Arial" w:cs="Arial"/>
          <w:color w:val="4472C4" w:themeColor="accent1"/>
        </w:rPr>
      </w:pPr>
      <w:r w:rsidRPr="00245EF7">
        <w:rPr>
          <w:rFonts w:ascii="Arial" w:hAnsi="Arial" w:cs="Arial"/>
          <w:color w:val="4472C4" w:themeColor="accent1"/>
        </w:rPr>
        <w:lastRenderedPageBreak/>
        <w:t>The minimum aggregate adjustment rate, apart from a change of N</w:t>
      </w:r>
      <w:r w:rsidRPr="00245EF7">
        <w:rPr>
          <w:rFonts w:ascii="Arial" w:hAnsi="Arial" w:cs="Arial"/>
          <w:color w:val="4472C4" w:themeColor="accent1"/>
          <w:vertAlign w:val="subscript"/>
        </w:rPr>
        <w:t>TA,UE-specific</w:t>
      </w:r>
      <w:r w:rsidRPr="00245EF7">
        <w:rPr>
          <w:rFonts w:ascii="Arial" w:hAnsi="Arial" w:cs="Arial"/>
          <w:color w:val="4472C4" w:themeColor="accent1"/>
        </w:rPr>
        <w:t xml:space="preserve"> due to satellite position update and N</w:t>
      </w:r>
      <w:r w:rsidRPr="00245EF7">
        <w:rPr>
          <w:rFonts w:ascii="Arial" w:hAnsi="Arial" w:cs="Arial"/>
          <w:color w:val="4472C4" w:themeColor="accent1"/>
          <w:vertAlign w:val="subscript"/>
        </w:rPr>
        <w:t>TA,common</w:t>
      </w:r>
      <w:r w:rsidRPr="00245EF7">
        <w:rPr>
          <w:rFonts w:ascii="Arial" w:hAnsi="Arial" w:cs="Arial"/>
          <w:color w:val="4472C4" w:themeColor="accent1"/>
        </w:rPr>
        <w:t xml:space="preserve"> during the last one second, shall be T</w:t>
      </w:r>
      <w:r w:rsidRPr="00245EF7">
        <w:rPr>
          <w:rFonts w:ascii="Arial" w:hAnsi="Arial" w:cs="Arial"/>
          <w:color w:val="4472C4" w:themeColor="accent1"/>
          <w:vertAlign w:val="subscript"/>
        </w:rPr>
        <w:t>p</w:t>
      </w:r>
      <w:r w:rsidRPr="00245EF7">
        <w:rPr>
          <w:rFonts w:ascii="Arial" w:hAnsi="Arial" w:cs="Arial"/>
          <w:color w:val="4472C4" w:themeColor="accent1"/>
        </w:rPr>
        <w:t xml:space="preserve"> per second.</w:t>
      </w:r>
    </w:p>
    <w:p w14:paraId="35B9D00E" w14:textId="77777777" w:rsidR="00227B4C" w:rsidRPr="00245EF7" w:rsidRDefault="00227B4C" w:rsidP="00245EF7">
      <w:pPr>
        <w:numPr>
          <w:ilvl w:val="3"/>
          <w:numId w:val="47"/>
        </w:numPr>
        <w:spacing w:after="120" w:line="240" w:lineRule="auto"/>
        <w:ind w:left="2247"/>
        <w:rPr>
          <w:rFonts w:ascii="Arial" w:hAnsi="Arial" w:cs="Arial"/>
          <w:color w:val="4472C4" w:themeColor="accent1"/>
        </w:rPr>
      </w:pPr>
      <w:r w:rsidRPr="00245EF7">
        <w:rPr>
          <w:rFonts w:ascii="Arial" w:hAnsi="Arial" w:cs="Arial"/>
          <w:color w:val="4472C4" w:themeColor="accent1"/>
        </w:rPr>
        <w:t>The maximum aggregate adjustment rate, apart from a change of N</w:t>
      </w:r>
      <w:r w:rsidRPr="00245EF7">
        <w:rPr>
          <w:rFonts w:ascii="Arial" w:hAnsi="Arial" w:cs="Arial"/>
          <w:color w:val="4472C4" w:themeColor="accent1"/>
          <w:vertAlign w:val="subscript"/>
        </w:rPr>
        <w:t>TA,UE-specific</w:t>
      </w:r>
      <w:r w:rsidRPr="00245EF7">
        <w:rPr>
          <w:rFonts w:ascii="Arial" w:hAnsi="Arial" w:cs="Arial"/>
          <w:color w:val="4472C4" w:themeColor="accent1"/>
        </w:rPr>
        <w:t xml:space="preserve"> due to satellite position update and N</w:t>
      </w:r>
      <w:r w:rsidRPr="00245EF7">
        <w:rPr>
          <w:rFonts w:ascii="Arial" w:hAnsi="Arial" w:cs="Arial"/>
          <w:color w:val="4472C4" w:themeColor="accent1"/>
          <w:vertAlign w:val="subscript"/>
        </w:rPr>
        <w:t>TA,common</w:t>
      </w:r>
      <w:r w:rsidRPr="00245EF7">
        <w:rPr>
          <w:rFonts w:ascii="Arial" w:hAnsi="Arial" w:cs="Arial"/>
          <w:color w:val="4472C4" w:themeColor="accent1"/>
        </w:rPr>
        <w:t xml:space="preserve"> during the last 200ms, shall be T</w:t>
      </w:r>
      <w:r w:rsidRPr="00245EF7">
        <w:rPr>
          <w:rFonts w:ascii="Arial" w:hAnsi="Arial" w:cs="Arial"/>
          <w:color w:val="4472C4" w:themeColor="accent1"/>
          <w:vertAlign w:val="subscript"/>
        </w:rPr>
        <w:t>q</w:t>
      </w:r>
      <w:r w:rsidRPr="00245EF7">
        <w:rPr>
          <w:rFonts w:ascii="Arial" w:hAnsi="Arial" w:cs="Arial"/>
          <w:color w:val="4472C4" w:themeColor="accent1"/>
        </w:rPr>
        <w:t xml:space="preserve"> per 200 ms.</w:t>
      </w:r>
    </w:p>
    <w:p w14:paraId="346F6CF9" w14:textId="77777777" w:rsidR="00227B4C" w:rsidRPr="00245EF7" w:rsidRDefault="00227B4C" w:rsidP="00245EF7">
      <w:pPr>
        <w:numPr>
          <w:ilvl w:val="3"/>
          <w:numId w:val="47"/>
        </w:numPr>
        <w:spacing w:after="120" w:line="240" w:lineRule="auto"/>
        <w:ind w:left="2247"/>
        <w:rPr>
          <w:rFonts w:ascii="Arial" w:hAnsi="Arial" w:cs="Arial"/>
          <w:color w:val="4472C4" w:themeColor="accent1"/>
        </w:rPr>
      </w:pPr>
      <w:r w:rsidRPr="00245EF7">
        <w:rPr>
          <w:rFonts w:ascii="Arial" w:hAnsi="Arial" w:cs="Arial"/>
          <w:color w:val="4472C4" w:themeColor="accent1"/>
        </w:rPr>
        <w:t>where the maximum autonomous time adjustment step T</w:t>
      </w:r>
      <w:r w:rsidRPr="00245EF7">
        <w:rPr>
          <w:rFonts w:ascii="Arial" w:hAnsi="Arial" w:cs="Arial"/>
          <w:color w:val="4472C4" w:themeColor="accent1"/>
          <w:vertAlign w:val="subscript"/>
        </w:rPr>
        <w:t>q</w:t>
      </w:r>
      <w:r w:rsidRPr="00245EF7">
        <w:rPr>
          <w:rFonts w:ascii="Arial" w:hAnsi="Arial" w:cs="Arial"/>
          <w:color w:val="4472C4" w:themeColor="accent1"/>
        </w:rPr>
        <w:t xml:space="preserve"> and the aggregate adjustment rate T</w:t>
      </w:r>
      <w:r w:rsidRPr="00245EF7">
        <w:rPr>
          <w:rFonts w:ascii="Arial" w:hAnsi="Arial" w:cs="Arial"/>
          <w:color w:val="4472C4" w:themeColor="accent1"/>
          <w:vertAlign w:val="subscript"/>
        </w:rPr>
        <w:t>p</w:t>
      </w:r>
      <w:r w:rsidRPr="00245EF7">
        <w:rPr>
          <w:rFonts w:ascii="Arial" w:hAnsi="Arial" w:cs="Arial"/>
          <w:color w:val="4472C4" w:themeColor="accent1"/>
        </w:rPr>
        <w:t xml:space="preserve"> are specified in Table.</w:t>
      </w:r>
    </w:p>
    <w:p w14:paraId="31B455AA" w14:textId="77777777" w:rsidR="00227B4C" w:rsidRPr="00245EF7" w:rsidRDefault="00227B4C" w:rsidP="00245EF7">
      <w:pPr>
        <w:numPr>
          <w:ilvl w:val="2"/>
          <w:numId w:val="47"/>
        </w:numPr>
        <w:spacing w:after="180" w:line="240" w:lineRule="auto"/>
        <w:ind w:left="1827"/>
        <w:rPr>
          <w:rFonts w:ascii="Arial" w:hAnsi="Arial" w:cs="Arial"/>
          <w:color w:val="4472C4" w:themeColor="accent1"/>
        </w:rPr>
      </w:pPr>
      <w:r w:rsidRPr="00245EF7">
        <w:rPr>
          <w:rFonts w:ascii="Arial" w:hAnsi="Arial" w:cs="Arial"/>
          <w:color w:val="4472C4" w:themeColor="accent1"/>
        </w:rPr>
        <w:t>The maximum autonomous time adjustment step T</w:t>
      </w:r>
      <w:r w:rsidRPr="00245EF7">
        <w:rPr>
          <w:rFonts w:ascii="Arial" w:hAnsi="Arial" w:cs="Arial"/>
          <w:color w:val="4472C4" w:themeColor="accent1"/>
          <w:vertAlign w:val="subscript"/>
        </w:rPr>
        <w:t>q</w:t>
      </w:r>
      <w:r w:rsidRPr="00245EF7">
        <w:rPr>
          <w:rFonts w:ascii="Arial" w:hAnsi="Arial" w:cs="Arial"/>
          <w:color w:val="4472C4" w:themeColor="accent1"/>
        </w:rPr>
        <w:t> and the aggregate adjustment rate T</w:t>
      </w:r>
      <w:r w:rsidRPr="00245EF7">
        <w:rPr>
          <w:rFonts w:ascii="Arial" w:hAnsi="Arial" w:cs="Arial"/>
          <w:color w:val="4472C4" w:themeColor="accent1"/>
          <w:vertAlign w:val="subscript"/>
        </w:rPr>
        <w:t>p</w:t>
      </w:r>
      <w:r w:rsidRPr="00245EF7">
        <w:rPr>
          <w:rFonts w:ascii="Arial" w:hAnsi="Arial" w:cs="Arial"/>
          <w:color w:val="4472C4" w:themeColor="accent1"/>
        </w:rPr>
        <w:t> are specified in Table below.</w:t>
      </w:r>
    </w:p>
    <w:tbl>
      <w:tblPr>
        <w:tblW w:w="4439" w:type="pct"/>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1995"/>
        <w:gridCol w:w="2062"/>
        <w:gridCol w:w="3261"/>
      </w:tblGrid>
      <w:tr w:rsidR="00245EF7" w:rsidRPr="00245EF7" w14:paraId="55BEDE06" w14:textId="77777777" w:rsidTr="00245EF7">
        <w:trPr>
          <w:cantSplit/>
        </w:trPr>
        <w:tc>
          <w:tcPr>
            <w:tcW w:w="720" w:type="pct"/>
            <w:vAlign w:val="center"/>
          </w:tcPr>
          <w:p w14:paraId="6E471FFD" w14:textId="77777777" w:rsidR="00227B4C" w:rsidRPr="00245EF7" w:rsidRDefault="00227B4C" w:rsidP="0005030D">
            <w:pPr>
              <w:pStyle w:val="TAH"/>
              <w:rPr>
                <w:rFonts w:cs="Arial"/>
                <w:b w:val="0"/>
                <w:bCs/>
                <w:iCs/>
                <w:color w:val="4472C4" w:themeColor="accent1"/>
                <w:sz w:val="20"/>
              </w:rPr>
            </w:pPr>
            <w:r w:rsidRPr="00245EF7">
              <w:rPr>
                <w:rFonts w:cs="Arial"/>
                <w:b w:val="0"/>
                <w:bCs/>
                <w:iCs/>
                <w:color w:val="4472C4" w:themeColor="accent1"/>
                <w:sz w:val="20"/>
              </w:rPr>
              <w:t>Frequency Range</w:t>
            </w:r>
          </w:p>
        </w:tc>
        <w:tc>
          <w:tcPr>
            <w:tcW w:w="1167" w:type="pct"/>
          </w:tcPr>
          <w:p w14:paraId="39A326D2" w14:textId="77777777" w:rsidR="00227B4C" w:rsidRPr="00245EF7" w:rsidRDefault="00227B4C" w:rsidP="0005030D">
            <w:pPr>
              <w:pStyle w:val="TAH"/>
              <w:rPr>
                <w:rFonts w:cs="Arial"/>
                <w:b w:val="0"/>
                <w:bCs/>
                <w:iCs/>
                <w:color w:val="4472C4" w:themeColor="accent1"/>
                <w:sz w:val="20"/>
                <w:lang w:val="en-US"/>
              </w:rPr>
            </w:pPr>
            <w:r w:rsidRPr="00245EF7">
              <w:rPr>
                <w:rFonts w:cs="Arial"/>
                <w:b w:val="0"/>
                <w:bCs/>
                <w:iCs/>
                <w:color w:val="4472C4" w:themeColor="accent1"/>
                <w:sz w:val="20"/>
                <w:lang w:val="en-US"/>
              </w:rPr>
              <w:t>SCS of uplink signals (kHz)</w:t>
            </w:r>
          </w:p>
        </w:tc>
        <w:tc>
          <w:tcPr>
            <w:tcW w:w="1206" w:type="pct"/>
            <w:vAlign w:val="center"/>
          </w:tcPr>
          <w:p w14:paraId="43150E25" w14:textId="77777777" w:rsidR="00227B4C" w:rsidRPr="00245EF7" w:rsidRDefault="00227B4C" w:rsidP="0005030D">
            <w:pPr>
              <w:pStyle w:val="TAH"/>
              <w:rPr>
                <w:rFonts w:cs="Arial"/>
                <w:b w:val="0"/>
                <w:bCs/>
                <w:iCs/>
                <w:color w:val="4472C4" w:themeColor="accent1"/>
                <w:sz w:val="20"/>
              </w:rPr>
            </w:pPr>
            <w:r w:rsidRPr="00245EF7">
              <w:rPr>
                <w:rFonts w:cs="Arial"/>
                <w:b w:val="0"/>
                <w:bCs/>
                <w:iCs/>
                <w:color w:val="4472C4" w:themeColor="accent1"/>
                <w:sz w:val="20"/>
              </w:rPr>
              <w:t>T</w:t>
            </w:r>
            <w:r w:rsidRPr="00245EF7">
              <w:rPr>
                <w:rFonts w:cs="Arial"/>
                <w:b w:val="0"/>
                <w:bCs/>
                <w:iCs/>
                <w:color w:val="4472C4" w:themeColor="accent1"/>
                <w:sz w:val="20"/>
                <w:vertAlign w:val="subscript"/>
              </w:rPr>
              <w:t>q</w:t>
            </w:r>
            <w:r w:rsidRPr="00245EF7">
              <w:rPr>
                <w:rFonts w:cs="Arial"/>
                <w:b w:val="0"/>
                <w:bCs/>
                <w:iCs/>
                <w:color w:val="4472C4" w:themeColor="accent1"/>
                <w:sz w:val="20"/>
              </w:rPr>
              <w:t xml:space="preserve"> </w:t>
            </w:r>
          </w:p>
        </w:tc>
        <w:tc>
          <w:tcPr>
            <w:tcW w:w="1907" w:type="pct"/>
            <w:vAlign w:val="center"/>
          </w:tcPr>
          <w:p w14:paraId="19CC82B3" w14:textId="77777777" w:rsidR="00227B4C" w:rsidRPr="00245EF7" w:rsidRDefault="00227B4C" w:rsidP="0005030D">
            <w:pPr>
              <w:pStyle w:val="TAH"/>
              <w:rPr>
                <w:rFonts w:cs="Arial"/>
                <w:b w:val="0"/>
                <w:bCs/>
                <w:iCs/>
                <w:color w:val="4472C4" w:themeColor="accent1"/>
                <w:sz w:val="20"/>
              </w:rPr>
            </w:pPr>
            <w:r w:rsidRPr="00245EF7">
              <w:rPr>
                <w:rFonts w:cs="Arial"/>
                <w:b w:val="0"/>
                <w:bCs/>
                <w:iCs/>
                <w:color w:val="4472C4" w:themeColor="accent1"/>
                <w:sz w:val="20"/>
              </w:rPr>
              <w:t>T</w:t>
            </w:r>
            <w:r w:rsidRPr="00245EF7">
              <w:rPr>
                <w:rFonts w:cs="Arial"/>
                <w:b w:val="0"/>
                <w:bCs/>
                <w:iCs/>
                <w:color w:val="4472C4" w:themeColor="accent1"/>
                <w:sz w:val="20"/>
                <w:vertAlign w:val="subscript"/>
              </w:rPr>
              <w:t>p</w:t>
            </w:r>
            <w:r w:rsidRPr="00245EF7">
              <w:rPr>
                <w:rFonts w:cs="Arial"/>
                <w:b w:val="0"/>
                <w:bCs/>
                <w:iCs/>
                <w:color w:val="4472C4" w:themeColor="accent1"/>
                <w:sz w:val="20"/>
              </w:rPr>
              <w:t xml:space="preserve"> </w:t>
            </w:r>
          </w:p>
        </w:tc>
      </w:tr>
      <w:tr w:rsidR="00245EF7" w:rsidRPr="00245EF7" w14:paraId="5A63E191" w14:textId="77777777" w:rsidTr="00245EF7">
        <w:trPr>
          <w:cantSplit/>
        </w:trPr>
        <w:tc>
          <w:tcPr>
            <w:tcW w:w="720" w:type="pct"/>
            <w:vMerge w:val="restart"/>
            <w:vAlign w:val="center"/>
          </w:tcPr>
          <w:p w14:paraId="16587395" w14:textId="77777777" w:rsidR="00227B4C" w:rsidRPr="00245EF7" w:rsidRDefault="00227B4C" w:rsidP="0005030D">
            <w:pPr>
              <w:pStyle w:val="TAC"/>
              <w:ind w:left="175" w:hanging="400"/>
              <w:rPr>
                <w:rFonts w:cs="Arial"/>
                <w:bCs/>
                <w:iCs/>
                <w:color w:val="4472C4" w:themeColor="accent1"/>
                <w:sz w:val="20"/>
              </w:rPr>
            </w:pPr>
            <w:r w:rsidRPr="00245EF7">
              <w:rPr>
                <w:rFonts w:cs="Arial"/>
                <w:bCs/>
                <w:iCs/>
                <w:color w:val="4472C4" w:themeColor="accent1"/>
                <w:sz w:val="20"/>
              </w:rPr>
              <w:t>1</w:t>
            </w:r>
          </w:p>
        </w:tc>
        <w:tc>
          <w:tcPr>
            <w:tcW w:w="1167" w:type="pct"/>
          </w:tcPr>
          <w:p w14:paraId="5A56E814" w14:textId="77777777" w:rsidR="00227B4C" w:rsidRPr="00245EF7" w:rsidRDefault="00227B4C" w:rsidP="0005030D">
            <w:pPr>
              <w:pStyle w:val="TAC"/>
              <w:ind w:left="175" w:hanging="400"/>
              <w:rPr>
                <w:rFonts w:cs="Arial"/>
                <w:bCs/>
                <w:iCs/>
                <w:color w:val="4472C4" w:themeColor="accent1"/>
                <w:sz w:val="20"/>
              </w:rPr>
            </w:pPr>
            <w:r w:rsidRPr="00245EF7">
              <w:rPr>
                <w:rFonts w:cs="Arial"/>
                <w:bCs/>
                <w:iCs/>
                <w:color w:val="4472C4" w:themeColor="accent1"/>
                <w:sz w:val="20"/>
              </w:rPr>
              <w:t>15</w:t>
            </w:r>
          </w:p>
        </w:tc>
        <w:tc>
          <w:tcPr>
            <w:tcW w:w="1206" w:type="pct"/>
          </w:tcPr>
          <w:p w14:paraId="53123602" w14:textId="77777777" w:rsidR="00227B4C" w:rsidRPr="00245EF7" w:rsidRDefault="00227B4C" w:rsidP="0005030D">
            <w:pPr>
              <w:pStyle w:val="TAC"/>
              <w:ind w:left="181" w:hanging="400"/>
              <w:rPr>
                <w:rFonts w:cs="Arial"/>
                <w:bCs/>
                <w:iCs/>
                <w:color w:val="4472C4" w:themeColor="accent1"/>
                <w:sz w:val="20"/>
              </w:rPr>
            </w:pPr>
            <w:r w:rsidRPr="00245EF7">
              <w:rPr>
                <w:rFonts w:cs="Arial"/>
                <w:bCs/>
                <w:iCs/>
                <w:color w:val="4472C4" w:themeColor="accent1"/>
                <w:sz w:val="20"/>
              </w:rPr>
              <w:t>[5.5]*64*T</w:t>
            </w:r>
            <w:r w:rsidRPr="00245EF7">
              <w:rPr>
                <w:rFonts w:cs="Arial"/>
                <w:bCs/>
                <w:iCs/>
                <w:color w:val="4472C4" w:themeColor="accent1"/>
                <w:sz w:val="20"/>
                <w:vertAlign w:val="subscript"/>
              </w:rPr>
              <w:t>c</w:t>
            </w:r>
          </w:p>
        </w:tc>
        <w:tc>
          <w:tcPr>
            <w:tcW w:w="1907" w:type="pct"/>
          </w:tcPr>
          <w:p w14:paraId="7CAED665" w14:textId="77777777" w:rsidR="00227B4C" w:rsidRPr="00245EF7" w:rsidRDefault="00227B4C" w:rsidP="0005030D">
            <w:pPr>
              <w:pStyle w:val="TAC"/>
              <w:ind w:left="331" w:hanging="400"/>
              <w:rPr>
                <w:rFonts w:cs="Arial"/>
                <w:bCs/>
                <w:iCs/>
                <w:color w:val="4472C4" w:themeColor="accent1"/>
                <w:sz w:val="20"/>
              </w:rPr>
            </w:pPr>
            <w:r w:rsidRPr="00245EF7">
              <w:rPr>
                <w:rFonts w:cs="Arial"/>
                <w:bCs/>
                <w:iCs/>
                <w:color w:val="4472C4" w:themeColor="accent1"/>
                <w:sz w:val="20"/>
              </w:rPr>
              <w:t>[5.5]*64*T</w:t>
            </w:r>
            <w:r w:rsidRPr="00245EF7">
              <w:rPr>
                <w:rFonts w:cs="Arial"/>
                <w:bCs/>
                <w:iCs/>
                <w:color w:val="4472C4" w:themeColor="accent1"/>
                <w:sz w:val="20"/>
                <w:vertAlign w:val="subscript"/>
              </w:rPr>
              <w:t>c</w:t>
            </w:r>
          </w:p>
        </w:tc>
      </w:tr>
      <w:tr w:rsidR="00245EF7" w:rsidRPr="00245EF7" w14:paraId="7139AF2A" w14:textId="77777777" w:rsidTr="00245EF7">
        <w:trPr>
          <w:cantSplit/>
        </w:trPr>
        <w:tc>
          <w:tcPr>
            <w:tcW w:w="720" w:type="pct"/>
            <w:vMerge/>
            <w:vAlign w:val="center"/>
          </w:tcPr>
          <w:p w14:paraId="44D161B3" w14:textId="77777777" w:rsidR="00227B4C" w:rsidRPr="00245EF7" w:rsidRDefault="00227B4C" w:rsidP="0005030D">
            <w:pPr>
              <w:pStyle w:val="TAC"/>
              <w:ind w:left="2000" w:hanging="400"/>
              <w:rPr>
                <w:rFonts w:cs="Arial"/>
                <w:bCs/>
                <w:iCs/>
                <w:color w:val="4472C4" w:themeColor="accent1"/>
                <w:sz w:val="20"/>
              </w:rPr>
            </w:pPr>
          </w:p>
        </w:tc>
        <w:tc>
          <w:tcPr>
            <w:tcW w:w="1167" w:type="pct"/>
          </w:tcPr>
          <w:p w14:paraId="2F9DEAB1" w14:textId="77777777" w:rsidR="00227B4C" w:rsidRPr="00245EF7" w:rsidRDefault="00227B4C" w:rsidP="0005030D">
            <w:pPr>
              <w:pStyle w:val="TAC"/>
              <w:ind w:left="175" w:hanging="400"/>
              <w:rPr>
                <w:rFonts w:cs="Arial"/>
                <w:bCs/>
                <w:iCs/>
                <w:color w:val="4472C4" w:themeColor="accent1"/>
                <w:sz w:val="20"/>
              </w:rPr>
            </w:pPr>
            <w:r w:rsidRPr="00245EF7">
              <w:rPr>
                <w:rFonts w:cs="Arial"/>
                <w:bCs/>
                <w:iCs/>
                <w:color w:val="4472C4" w:themeColor="accent1"/>
                <w:sz w:val="20"/>
              </w:rPr>
              <w:t>30</w:t>
            </w:r>
          </w:p>
        </w:tc>
        <w:tc>
          <w:tcPr>
            <w:tcW w:w="1206" w:type="pct"/>
          </w:tcPr>
          <w:p w14:paraId="584159E6" w14:textId="77777777" w:rsidR="00227B4C" w:rsidRPr="00245EF7" w:rsidRDefault="00227B4C" w:rsidP="0005030D">
            <w:pPr>
              <w:pStyle w:val="TAC"/>
              <w:ind w:left="208" w:hanging="400"/>
              <w:rPr>
                <w:rFonts w:cs="Arial"/>
                <w:bCs/>
                <w:iCs/>
                <w:color w:val="4472C4" w:themeColor="accent1"/>
                <w:sz w:val="20"/>
              </w:rPr>
            </w:pPr>
            <w:r w:rsidRPr="00245EF7">
              <w:rPr>
                <w:rFonts w:cs="Arial"/>
                <w:bCs/>
                <w:iCs/>
                <w:color w:val="4472C4" w:themeColor="accent1"/>
                <w:sz w:val="20"/>
              </w:rPr>
              <w:t>[5.5]*64*T</w:t>
            </w:r>
            <w:r w:rsidRPr="00245EF7">
              <w:rPr>
                <w:rFonts w:cs="Arial"/>
                <w:bCs/>
                <w:iCs/>
                <w:color w:val="4472C4" w:themeColor="accent1"/>
                <w:sz w:val="20"/>
                <w:vertAlign w:val="subscript"/>
              </w:rPr>
              <w:t>c</w:t>
            </w:r>
          </w:p>
        </w:tc>
        <w:tc>
          <w:tcPr>
            <w:tcW w:w="1907" w:type="pct"/>
          </w:tcPr>
          <w:p w14:paraId="5E229EF9" w14:textId="77777777" w:rsidR="00227B4C" w:rsidRPr="00245EF7" w:rsidRDefault="00227B4C" w:rsidP="0005030D">
            <w:pPr>
              <w:pStyle w:val="TAC"/>
              <w:ind w:left="389" w:hanging="400"/>
              <w:rPr>
                <w:rFonts w:cs="Arial"/>
                <w:bCs/>
                <w:iCs/>
                <w:color w:val="4472C4" w:themeColor="accent1"/>
                <w:sz w:val="20"/>
              </w:rPr>
            </w:pPr>
            <w:r w:rsidRPr="00245EF7">
              <w:rPr>
                <w:rFonts w:cs="Arial"/>
                <w:bCs/>
                <w:iCs/>
                <w:color w:val="4472C4" w:themeColor="accent1"/>
                <w:sz w:val="20"/>
              </w:rPr>
              <w:t>[5.5]*64*T</w:t>
            </w:r>
            <w:r w:rsidRPr="00245EF7">
              <w:rPr>
                <w:rFonts w:cs="Arial"/>
                <w:bCs/>
                <w:iCs/>
                <w:color w:val="4472C4" w:themeColor="accent1"/>
                <w:sz w:val="20"/>
                <w:vertAlign w:val="subscript"/>
              </w:rPr>
              <w:t>c</w:t>
            </w:r>
          </w:p>
        </w:tc>
      </w:tr>
      <w:tr w:rsidR="00245EF7" w:rsidRPr="00245EF7" w14:paraId="6072A939" w14:textId="77777777" w:rsidTr="00245EF7">
        <w:trPr>
          <w:cantSplit/>
        </w:trPr>
        <w:tc>
          <w:tcPr>
            <w:tcW w:w="720" w:type="pct"/>
            <w:vMerge/>
            <w:vAlign w:val="center"/>
          </w:tcPr>
          <w:p w14:paraId="4D01D000" w14:textId="77777777" w:rsidR="00227B4C" w:rsidRPr="00245EF7" w:rsidRDefault="00227B4C" w:rsidP="0005030D">
            <w:pPr>
              <w:pStyle w:val="TAC"/>
              <w:ind w:left="2000" w:hanging="400"/>
              <w:rPr>
                <w:rFonts w:cs="Arial"/>
                <w:bCs/>
                <w:iCs/>
                <w:color w:val="4472C4" w:themeColor="accent1"/>
                <w:sz w:val="20"/>
              </w:rPr>
            </w:pPr>
          </w:p>
        </w:tc>
        <w:tc>
          <w:tcPr>
            <w:tcW w:w="1167" w:type="pct"/>
          </w:tcPr>
          <w:p w14:paraId="59955FA6" w14:textId="77777777" w:rsidR="00227B4C" w:rsidRPr="00245EF7" w:rsidRDefault="00227B4C" w:rsidP="0005030D">
            <w:pPr>
              <w:pStyle w:val="TAC"/>
              <w:ind w:left="175" w:hanging="400"/>
              <w:rPr>
                <w:rFonts w:cs="Arial"/>
                <w:bCs/>
                <w:iCs/>
                <w:color w:val="4472C4" w:themeColor="accent1"/>
                <w:sz w:val="20"/>
              </w:rPr>
            </w:pPr>
            <w:r w:rsidRPr="00245EF7">
              <w:rPr>
                <w:rFonts w:cs="Arial"/>
                <w:bCs/>
                <w:iCs/>
                <w:color w:val="4472C4" w:themeColor="accent1"/>
                <w:sz w:val="20"/>
              </w:rPr>
              <w:t>60</w:t>
            </w:r>
          </w:p>
        </w:tc>
        <w:tc>
          <w:tcPr>
            <w:tcW w:w="1206" w:type="pct"/>
          </w:tcPr>
          <w:p w14:paraId="5283405D" w14:textId="77777777" w:rsidR="00227B4C" w:rsidRPr="00245EF7" w:rsidRDefault="00227B4C" w:rsidP="0005030D">
            <w:pPr>
              <w:pStyle w:val="TAC"/>
              <w:ind w:left="565" w:hanging="400"/>
              <w:rPr>
                <w:rFonts w:cs="Arial"/>
                <w:bCs/>
                <w:iCs/>
                <w:color w:val="4472C4" w:themeColor="accent1"/>
                <w:sz w:val="20"/>
              </w:rPr>
            </w:pPr>
            <w:r w:rsidRPr="00245EF7">
              <w:rPr>
                <w:rFonts w:cs="Arial"/>
                <w:bCs/>
                <w:iCs/>
                <w:color w:val="4472C4" w:themeColor="accent1"/>
                <w:sz w:val="20"/>
              </w:rPr>
              <w:t>NA</w:t>
            </w:r>
          </w:p>
        </w:tc>
        <w:tc>
          <w:tcPr>
            <w:tcW w:w="1907" w:type="pct"/>
          </w:tcPr>
          <w:p w14:paraId="1049208E" w14:textId="77777777" w:rsidR="00227B4C" w:rsidRPr="00245EF7" w:rsidRDefault="00227B4C" w:rsidP="0005030D">
            <w:pPr>
              <w:pStyle w:val="TAC"/>
              <w:ind w:left="196" w:hanging="400"/>
              <w:rPr>
                <w:rFonts w:cs="Arial"/>
                <w:bCs/>
                <w:iCs/>
                <w:color w:val="4472C4" w:themeColor="accent1"/>
                <w:sz w:val="20"/>
              </w:rPr>
            </w:pPr>
            <w:r w:rsidRPr="00245EF7">
              <w:rPr>
                <w:rFonts w:cs="Arial"/>
                <w:bCs/>
                <w:iCs/>
                <w:color w:val="4472C4" w:themeColor="accent1"/>
                <w:sz w:val="20"/>
              </w:rPr>
              <w:t>NA</w:t>
            </w:r>
          </w:p>
        </w:tc>
      </w:tr>
      <w:tr w:rsidR="00245EF7" w:rsidRPr="00245EF7" w14:paraId="173749C6" w14:textId="77777777" w:rsidTr="00245EF7">
        <w:trPr>
          <w:cantSplit/>
        </w:trPr>
        <w:tc>
          <w:tcPr>
            <w:tcW w:w="5000" w:type="pct"/>
            <w:gridSpan w:val="4"/>
          </w:tcPr>
          <w:p w14:paraId="29D2CE0B" w14:textId="77777777" w:rsidR="00227B4C" w:rsidRPr="00245EF7" w:rsidRDefault="00227B4C" w:rsidP="0005030D">
            <w:pPr>
              <w:pStyle w:val="TAN"/>
              <w:rPr>
                <w:rFonts w:cs="Arial"/>
                <w:bCs/>
                <w:iCs/>
                <w:color w:val="4472C4" w:themeColor="accent1"/>
                <w:sz w:val="20"/>
              </w:rPr>
            </w:pPr>
            <w:r w:rsidRPr="00245EF7">
              <w:rPr>
                <w:rFonts w:cs="Arial"/>
                <w:bCs/>
                <w:iCs/>
                <w:color w:val="4472C4" w:themeColor="accent1"/>
                <w:sz w:val="20"/>
              </w:rPr>
              <w:t>NOTE:</w:t>
            </w:r>
            <w:r w:rsidRPr="00245EF7">
              <w:rPr>
                <w:rFonts w:cs="Arial"/>
                <w:bCs/>
                <w:iCs/>
                <w:color w:val="4472C4" w:themeColor="accent1"/>
                <w:sz w:val="20"/>
              </w:rPr>
              <w:tab/>
              <w:t>T</w:t>
            </w:r>
            <w:r w:rsidRPr="00245EF7">
              <w:rPr>
                <w:rFonts w:cs="Arial"/>
                <w:bCs/>
                <w:iCs/>
                <w:color w:val="4472C4" w:themeColor="accent1"/>
                <w:sz w:val="20"/>
                <w:vertAlign w:val="subscript"/>
              </w:rPr>
              <w:t>c</w:t>
            </w:r>
            <w:r w:rsidRPr="00245EF7">
              <w:rPr>
                <w:rFonts w:cs="Arial"/>
                <w:bCs/>
                <w:iCs/>
                <w:color w:val="4472C4" w:themeColor="accent1"/>
                <w:sz w:val="20"/>
              </w:rPr>
              <w:t xml:space="preserve"> is the basic timing unit defined in TS 38.211 </w:t>
            </w:r>
          </w:p>
        </w:tc>
      </w:tr>
    </w:tbl>
    <w:p w14:paraId="3F15F93C" w14:textId="77777777" w:rsidR="00227B4C" w:rsidRPr="00245EF7" w:rsidRDefault="00227B4C" w:rsidP="00245EF7">
      <w:pPr>
        <w:pStyle w:val="TAL"/>
        <w:ind w:left="567"/>
        <w:rPr>
          <w:rFonts w:eastAsia="PMingLiU" w:cs="Arial"/>
          <w:color w:val="4472C4" w:themeColor="accent1"/>
          <w:sz w:val="20"/>
          <w:szCs w:val="20"/>
        </w:rPr>
      </w:pPr>
    </w:p>
    <w:p w14:paraId="49075780" w14:textId="77777777" w:rsidR="00227B4C" w:rsidRPr="00245EF7" w:rsidRDefault="00227B4C" w:rsidP="00245EF7">
      <w:pPr>
        <w:pStyle w:val="ListParagraph"/>
        <w:numPr>
          <w:ilvl w:val="1"/>
          <w:numId w:val="47"/>
        </w:numPr>
        <w:spacing w:after="120" w:line="252" w:lineRule="auto"/>
        <w:ind w:left="1407"/>
        <w:rPr>
          <w:rFonts w:ascii="Arial" w:hAnsi="Arial" w:cs="Arial"/>
          <w:color w:val="4472C4" w:themeColor="accent1"/>
          <w:lang w:eastAsia="ja-JP"/>
        </w:rPr>
      </w:pPr>
      <w:r w:rsidRPr="00245EF7">
        <w:rPr>
          <w:rFonts w:ascii="Arial" w:eastAsia="DengXian" w:hAnsi="Arial" w:cs="Arial"/>
          <w:color w:val="4472C4" w:themeColor="accent1"/>
        </w:rPr>
        <w:t>(Note) T</w:t>
      </w:r>
      <w:r w:rsidRPr="00245EF7">
        <w:rPr>
          <w:rFonts w:ascii="Arial" w:eastAsia="DengXian" w:hAnsi="Arial" w:cs="Arial"/>
          <w:color w:val="4472C4" w:themeColor="accent1"/>
          <w:vertAlign w:val="subscript"/>
        </w:rPr>
        <w:t>e_NTN</w:t>
      </w:r>
      <w:r w:rsidRPr="00245EF7">
        <w:rPr>
          <w:rFonts w:ascii="Arial" w:eastAsia="DengXian" w:hAnsi="Arial" w:cs="Arial"/>
          <w:color w:val="4472C4" w:themeColor="accent1"/>
        </w:rPr>
        <w:t xml:space="preserve"> is a timing error limit of NTN UE initial transmission timing error.</w:t>
      </w:r>
    </w:p>
    <w:p w14:paraId="1839EEAF" w14:textId="45AB786C" w:rsidR="00227B4C" w:rsidRDefault="001A0D4B" w:rsidP="001A0D4B">
      <w:pPr>
        <w:jc w:val="both"/>
        <w:rPr>
          <w:rFonts w:ascii="Arial" w:hAnsi="Arial" w:cs="Arial"/>
        </w:rPr>
      </w:pPr>
      <w:r>
        <w:rPr>
          <w:rFonts w:ascii="Arial" w:hAnsi="Arial" w:cs="Arial"/>
        </w:rPr>
        <w:t>T</w:t>
      </w:r>
      <w:r w:rsidR="00AC1FF0" w:rsidRPr="00AC1FF0">
        <w:rPr>
          <w:rFonts w:ascii="Arial" w:hAnsi="Arial" w:cs="Arial"/>
        </w:rPr>
        <w:t>he gradual timing adjustment requirement</w:t>
      </w:r>
      <w:r>
        <w:rPr>
          <w:rFonts w:ascii="Arial" w:hAnsi="Arial" w:cs="Arial"/>
        </w:rPr>
        <w:t xml:space="preserve"> </w:t>
      </w:r>
      <w:r w:rsidR="00E855C7">
        <w:rPr>
          <w:rFonts w:ascii="Arial" w:hAnsi="Arial" w:cs="Arial"/>
        </w:rPr>
        <w:t>restricts</w:t>
      </w:r>
      <w:r>
        <w:rPr>
          <w:rFonts w:ascii="Arial" w:hAnsi="Arial" w:cs="Arial"/>
        </w:rPr>
        <w:t xml:space="preserve"> the </w:t>
      </w:r>
      <w:r w:rsidR="00E855C7">
        <w:rPr>
          <w:rFonts w:ascii="Arial" w:hAnsi="Arial" w:cs="Arial"/>
        </w:rPr>
        <w:t>rate</w:t>
      </w:r>
      <w:r>
        <w:rPr>
          <w:rFonts w:ascii="Arial" w:hAnsi="Arial" w:cs="Arial"/>
        </w:rPr>
        <w:t xml:space="preserve"> by which the UE uplink timing can change. </w:t>
      </w:r>
      <w:r w:rsidR="00AC1FF0" w:rsidRPr="00AC1FF0">
        <w:rPr>
          <w:rFonts w:ascii="Arial" w:hAnsi="Arial" w:cs="Arial"/>
        </w:rPr>
        <w:t xml:space="preserve">RAN4 excludes </w:t>
      </w:r>
      <w:r w:rsidR="0076587D">
        <w:rPr>
          <w:rFonts w:ascii="Arial" w:hAnsi="Arial" w:cs="Arial"/>
        </w:rPr>
        <w:t xml:space="preserve">only </w:t>
      </w:r>
      <w:r w:rsidR="00AC1FF0" w:rsidRPr="00AC1FF0">
        <w:rPr>
          <w:rFonts w:ascii="Arial" w:hAnsi="Arial" w:cs="Arial"/>
        </w:rPr>
        <w:t xml:space="preserve">changes in </w:t>
      </w:r>
      <w:r w:rsidR="00F402C7">
        <w:rPr>
          <w:rFonts w:ascii="Arial" w:hAnsi="Arial" w:cs="Arial"/>
        </w:rPr>
        <w:t>UE uplink</w:t>
      </w:r>
      <w:r w:rsidR="00AC1FF0" w:rsidRPr="00AC1FF0">
        <w:rPr>
          <w:rFonts w:ascii="Arial" w:hAnsi="Arial" w:cs="Arial"/>
        </w:rPr>
        <w:t xml:space="preserve"> timing due to change of </w:t>
      </w:r>
      <w:r w:rsidR="00AC1FF0" w:rsidRPr="001A0D4B">
        <w:rPr>
          <w:rFonts w:ascii="Arial" w:hAnsi="Arial" w:cs="Arial"/>
        </w:rPr>
        <w:t>N</w:t>
      </w:r>
      <w:r w:rsidR="00AC1FF0" w:rsidRPr="001A0D4B">
        <w:rPr>
          <w:rFonts w:ascii="Arial" w:hAnsi="Arial" w:cs="Arial"/>
          <w:vertAlign w:val="subscript"/>
        </w:rPr>
        <w:t>TA,UE-specific</w:t>
      </w:r>
      <w:r w:rsidR="00AC1FF0" w:rsidRPr="001A0D4B">
        <w:rPr>
          <w:rFonts w:ascii="Arial" w:hAnsi="Arial" w:cs="Arial"/>
        </w:rPr>
        <w:t xml:space="preserve"> due to satellite position update</w:t>
      </w:r>
      <w:r>
        <w:rPr>
          <w:rFonts w:ascii="Arial" w:hAnsi="Arial" w:cs="Arial"/>
        </w:rPr>
        <w:t xml:space="preserve"> and </w:t>
      </w:r>
      <w:r w:rsidR="00AC1FF0" w:rsidRPr="001A0D4B">
        <w:rPr>
          <w:rFonts w:ascii="Arial" w:hAnsi="Arial" w:cs="Arial"/>
        </w:rPr>
        <w:t>N</w:t>
      </w:r>
      <w:r w:rsidR="00AC1FF0" w:rsidRPr="001A0D4B">
        <w:rPr>
          <w:rFonts w:ascii="Arial" w:hAnsi="Arial" w:cs="Arial"/>
          <w:vertAlign w:val="subscript"/>
        </w:rPr>
        <w:t>TA,common</w:t>
      </w:r>
      <w:r w:rsidRPr="001A0D4B">
        <w:rPr>
          <w:rFonts w:ascii="Arial" w:hAnsi="Arial" w:cs="Arial"/>
        </w:rPr>
        <w:t>.</w:t>
      </w:r>
      <w:r>
        <w:rPr>
          <w:rFonts w:ascii="Arial" w:hAnsi="Arial" w:cs="Arial"/>
        </w:rPr>
        <w:t xml:space="preserve"> This means that changes in UE uplink timing due to </w:t>
      </w:r>
      <w:r w:rsidR="0076587D">
        <w:rPr>
          <w:rFonts w:ascii="Arial" w:hAnsi="Arial" w:cs="Arial"/>
        </w:rPr>
        <w:t xml:space="preserve">changes in </w:t>
      </w:r>
      <w:r w:rsidR="0076587D" w:rsidRPr="001A0D4B">
        <w:rPr>
          <w:rFonts w:ascii="Arial" w:hAnsi="Arial" w:cs="Arial"/>
        </w:rPr>
        <w:t>N</w:t>
      </w:r>
      <w:r w:rsidR="0076587D" w:rsidRPr="001A0D4B">
        <w:rPr>
          <w:rFonts w:ascii="Arial" w:hAnsi="Arial" w:cs="Arial"/>
          <w:vertAlign w:val="subscript"/>
        </w:rPr>
        <w:t>TA,UE-specific</w:t>
      </w:r>
      <w:r w:rsidR="0076587D" w:rsidRPr="001A0D4B">
        <w:rPr>
          <w:rFonts w:ascii="Arial" w:hAnsi="Arial" w:cs="Arial"/>
        </w:rPr>
        <w:t xml:space="preserve"> due to </w:t>
      </w:r>
      <w:r w:rsidR="0076587D">
        <w:rPr>
          <w:rFonts w:ascii="Arial" w:hAnsi="Arial" w:cs="Arial"/>
        </w:rPr>
        <w:t>UE</w:t>
      </w:r>
      <w:r w:rsidR="0076587D" w:rsidRPr="001A0D4B">
        <w:rPr>
          <w:rFonts w:ascii="Arial" w:hAnsi="Arial" w:cs="Arial"/>
        </w:rPr>
        <w:t xml:space="preserve"> position update</w:t>
      </w:r>
      <w:r w:rsidR="0076587D">
        <w:rPr>
          <w:rFonts w:ascii="Arial" w:hAnsi="Arial" w:cs="Arial"/>
        </w:rPr>
        <w:t xml:space="preserve"> </w:t>
      </w:r>
      <w:r>
        <w:rPr>
          <w:rFonts w:ascii="Arial" w:hAnsi="Arial" w:cs="Arial"/>
        </w:rPr>
        <w:t>are</w:t>
      </w:r>
      <w:r w:rsidR="0076587D">
        <w:rPr>
          <w:rFonts w:ascii="Arial" w:hAnsi="Arial" w:cs="Arial"/>
        </w:rPr>
        <w:t xml:space="preserve"> restricted by the gradual timing adjustment requirement. Therefore, the timing updates due to UE GNSS position update will be slow enough to allow the closed-loop TA control to compensate for it, and the double correction problem is avoided.</w:t>
      </w:r>
    </w:p>
    <w:p w14:paraId="1C7AEBF4" w14:textId="59903688" w:rsidR="00D44342" w:rsidRDefault="00D44342" w:rsidP="00D44342">
      <w:pPr>
        <w:pStyle w:val="Observation"/>
      </w:pPr>
      <w:bookmarkStart w:id="1" w:name="_Toc101512713"/>
      <w:r>
        <w:t>Double correction problems caused by UE position updates will be avoided by the gradual timing adjustment requirement agreed by RAN4.</w:t>
      </w:r>
      <w:bookmarkEnd w:id="1"/>
    </w:p>
    <w:p w14:paraId="75780033" w14:textId="290593BC" w:rsidR="0076587D" w:rsidRDefault="0076587D" w:rsidP="001A0D4B">
      <w:pPr>
        <w:jc w:val="both"/>
        <w:rPr>
          <w:rFonts w:ascii="Arial" w:hAnsi="Arial" w:cs="Arial"/>
          <w:color w:val="000000"/>
          <w:szCs w:val="21"/>
          <w:shd w:val="clear" w:color="auto" w:fill="FFFFFF"/>
          <w:lang w:val="en-US"/>
        </w:rPr>
      </w:pPr>
      <w:r>
        <w:rPr>
          <w:rFonts w:ascii="Arial" w:hAnsi="Arial" w:cs="Arial"/>
        </w:rPr>
        <w:t xml:space="preserve">Other causes for double correction problems mentioned in </w:t>
      </w:r>
      <w:r w:rsidR="00785D9E">
        <w:rPr>
          <w:rFonts w:ascii="Arial" w:hAnsi="Arial" w:cs="Arial"/>
        </w:rPr>
        <w:fldChar w:fldCharType="begin"/>
      </w:r>
      <w:r w:rsidR="00785D9E">
        <w:rPr>
          <w:rFonts w:ascii="Arial" w:hAnsi="Arial" w:cs="Arial"/>
        </w:rPr>
        <w:instrText xml:space="preserve"> REF _Ref101426053 \r \h </w:instrText>
      </w:r>
      <w:r w:rsidR="00785D9E">
        <w:rPr>
          <w:rFonts w:ascii="Arial" w:hAnsi="Arial" w:cs="Arial"/>
        </w:rPr>
      </w:r>
      <w:r w:rsidR="00785D9E">
        <w:rPr>
          <w:rFonts w:ascii="Arial" w:hAnsi="Arial" w:cs="Arial"/>
        </w:rPr>
        <w:fldChar w:fldCharType="separate"/>
      </w:r>
      <w:r w:rsidR="007145B4">
        <w:rPr>
          <w:rFonts w:ascii="Arial" w:hAnsi="Arial" w:cs="Arial"/>
        </w:rPr>
        <w:t>[2]</w:t>
      </w:r>
      <w:r w:rsidR="00785D9E">
        <w:rPr>
          <w:rFonts w:ascii="Arial" w:hAnsi="Arial" w:cs="Arial"/>
        </w:rPr>
        <w:fldChar w:fldCharType="end"/>
      </w:r>
      <w:r w:rsidR="00785D9E">
        <w:rPr>
          <w:rFonts w:ascii="Arial" w:hAnsi="Arial" w:cs="Arial"/>
        </w:rPr>
        <w:t xml:space="preserve"> </w:t>
      </w:r>
      <w:r>
        <w:rPr>
          <w:rFonts w:ascii="Arial" w:hAnsi="Arial" w:cs="Arial"/>
        </w:rPr>
        <w:t xml:space="preserve">are update of </w:t>
      </w:r>
      <w:r>
        <w:rPr>
          <w:rFonts w:ascii="Arial" w:hAnsi="Arial" w:cs="Arial"/>
          <w:color w:val="000000"/>
          <w:szCs w:val="21"/>
          <w:shd w:val="clear" w:color="auto" w:fill="FFFFFF"/>
          <w:lang w:val="en-US"/>
        </w:rPr>
        <w:t>serving satellite</w:t>
      </w:r>
      <w:r w:rsidRPr="00936EE5">
        <w:rPr>
          <w:rFonts w:ascii="Arial" w:hAnsi="Arial" w:cs="Arial"/>
          <w:color w:val="000000"/>
          <w:szCs w:val="21"/>
          <w:shd w:val="clear" w:color="auto" w:fill="FFFFFF"/>
          <w:lang w:val="en-US"/>
        </w:rPr>
        <w:t xml:space="preserve"> ephemeris</w:t>
      </w:r>
      <w:r w:rsidRPr="0076587D">
        <w:rPr>
          <w:rFonts w:ascii="Arial" w:hAnsi="Arial" w:cs="Arial"/>
          <w:color w:val="000000"/>
          <w:szCs w:val="21"/>
          <w:shd w:val="clear" w:color="auto" w:fill="FFFFFF"/>
          <w:lang w:val="en-US"/>
        </w:rPr>
        <w:t xml:space="preserve"> </w:t>
      </w:r>
      <w:r w:rsidR="00AB7064">
        <w:rPr>
          <w:rFonts w:ascii="Arial" w:hAnsi="Arial" w:cs="Arial"/>
          <w:color w:val="000000"/>
          <w:szCs w:val="21"/>
          <w:shd w:val="clear" w:color="auto" w:fill="FFFFFF"/>
          <w:lang w:val="en-US"/>
        </w:rPr>
        <w:t xml:space="preserve">parameters </w:t>
      </w:r>
      <w:r>
        <w:rPr>
          <w:rFonts w:ascii="Arial" w:hAnsi="Arial" w:cs="Arial"/>
          <w:color w:val="000000"/>
          <w:szCs w:val="21"/>
          <w:shd w:val="clear" w:color="auto" w:fill="FFFFFF"/>
          <w:lang w:val="en-US"/>
        </w:rPr>
        <w:t xml:space="preserve">and </w:t>
      </w:r>
      <w:r w:rsidRPr="00936EE5">
        <w:rPr>
          <w:rFonts w:ascii="Arial" w:hAnsi="Arial" w:cs="Arial"/>
          <w:color w:val="000000"/>
          <w:szCs w:val="21"/>
          <w:shd w:val="clear" w:color="auto" w:fill="FFFFFF"/>
          <w:lang w:val="en-US"/>
        </w:rPr>
        <w:t>common TA</w:t>
      </w:r>
      <w:r>
        <w:rPr>
          <w:rFonts w:ascii="Arial" w:hAnsi="Arial" w:cs="Arial"/>
          <w:color w:val="000000"/>
          <w:szCs w:val="21"/>
          <w:shd w:val="clear" w:color="auto" w:fill="FFFFFF"/>
          <w:lang w:val="en-US"/>
        </w:rPr>
        <w:t xml:space="preserve"> parameters.</w:t>
      </w:r>
      <w:r w:rsidR="00785D9E">
        <w:rPr>
          <w:rFonts w:ascii="Arial" w:hAnsi="Arial" w:cs="Arial"/>
          <w:color w:val="000000"/>
          <w:szCs w:val="21"/>
          <w:shd w:val="clear" w:color="auto" w:fill="FFFFFF"/>
          <w:lang w:val="en-US"/>
        </w:rPr>
        <w:t xml:space="preserve"> UE uplink timing changes due to these updates will not be restricted by the gradual timing adjustment requirement</w:t>
      </w:r>
      <w:r w:rsidR="00D44342">
        <w:rPr>
          <w:rFonts w:ascii="Arial" w:hAnsi="Arial" w:cs="Arial"/>
          <w:color w:val="000000"/>
          <w:szCs w:val="21"/>
          <w:shd w:val="clear" w:color="auto" w:fill="FFFFFF"/>
          <w:lang w:val="en-US"/>
        </w:rPr>
        <w:t xml:space="preserve">. However, </w:t>
      </w:r>
      <w:r w:rsidR="004B52D8">
        <w:rPr>
          <w:rFonts w:ascii="Arial" w:hAnsi="Arial" w:cs="Arial"/>
          <w:color w:val="000000"/>
          <w:szCs w:val="21"/>
          <w:shd w:val="clear" w:color="auto" w:fill="FFFFFF"/>
          <w:lang w:val="en-US"/>
        </w:rPr>
        <w:t xml:space="preserve">UL timing jumps caused by </w:t>
      </w:r>
      <w:r w:rsidR="00D44342">
        <w:rPr>
          <w:rFonts w:ascii="Arial" w:hAnsi="Arial" w:cs="Arial"/>
          <w:color w:val="000000"/>
          <w:szCs w:val="21"/>
          <w:shd w:val="clear" w:color="auto" w:fill="FFFFFF"/>
          <w:lang w:val="en-US"/>
        </w:rPr>
        <w:t>these are typically smaller and can be controlled by network implementation through careful setting of the validity timer. Therefore, no further work is needed in RAN1 on the combination of open and closed loop TA control.</w:t>
      </w:r>
    </w:p>
    <w:p w14:paraId="3BAE1743" w14:textId="6C0876AD" w:rsidR="00D44342" w:rsidRPr="00D44342" w:rsidRDefault="00D44342" w:rsidP="00D44342">
      <w:pPr>
        <w:pStyle w:val="Observation"/>
      </w:pPr>
      <w:bookmarkStart w:id="2" w:name="_Toc101512714"/>
      <w:r>
        <w:t xml:space="preserve">Double correction problems caused by </w:t>
      </w:r>
      <w:r>
        <w:rPr>
          <w:rFonts w:cs="Arial"/>
          <w:color w:val="000000"/>
          <w:szCs w:val="21"/>
          <w:shd w:val="clear" w:color="auto" w:fill="FFFFFF"/>
          <w:lang w:val="en-US"/>
        </w:rPr>
        <w:t>serving satellite</w:t>
      </w:r>
      <w:r w:rsidRPr="00936EE5">
        <w:rPr>
          <w:rFonts w:cs="Arial"/>
          <w:color w:val="000000"/>
          <w:szCs w:val="21"/>
          <w:shd w:val="clear" w:color="auto" w:fill="FFFFFF"/>
          <w:lang w:val="en-US"/>
        </w:rPr>
        <w:t xml:space="preserve"> ephemeris</w:t>
      </w:r>
      <w:r w:rsidRPr="0076587D">
        <w:rPr>
          <w:rFonts w:cs="Arial"/>
          <w:color w:val="000000"/>
          <w:szCs w:val="21"/>
          <w:shd w:val="clear" w:color="auto" w:fill="FFFFFF"/>
          <w:lang w:val="en-US"/>
        </w:rPr>
        <w:t xml:space="preserve"> </w:t>
      </w:r>
      <w:r>
        <w:rPr>
          <w:rFonts w:cs="Arial"/>
          <w:color w:val="000000"/>
          <w:szCs w:val="21"/>
          <w:shd w:val="clear" w:color="auto" w:fill="FFFFFF"/>
          <w:lang w:val="en-US"/>
        </w:rPr>
        <w:t xml:space="preserve">and </w:t>
      </w:r>
      <w:r w:rsidRPr="00936EE5">
        <w:rPr>
          <w:rFonts w:cs="Arial"/>
          <w:color w:val="000000"/>
          <w:szCs w:val="21"/>
          <w:shd w:val="clear" w:color="auto" w:fill="FFFFFF"/>
          <w:lang w:val="en-US"/>
        </w:rPr>
        <w:t>common TA</w:t>
      </w:r>
      <w:r>
        <w:rPr>
          <w:rFonts w:cs="Arial"/>
          <w:color w:val="000000"/>
          <w:szCs w:val="21"/>
          <w:shd w:val="clear" w:color="auto" w:fill="FFFFFF"/>
          <w:lang w:val="en-US"/>
        </w:rPr>
        <w:t xml:space="preserve"> parameter</w:t>
      </w:r>
      <w:r>
        <w:t xml:space="preserve"> updates will not be avoided by the gradual timing adjustment requirement agreed by RAN4. However, </w:t>
      </w:r>
      <w:r w:rsidR="00696E52">
        <w:rPr>
          <w:rFonts w:cs="Arial"/>
          <w:color w:val="000000"/>
          <w:szCs w:val="21"/>
          <w:shd w:val="clear" w:color="auto" w:fill="FFFFFF"/>
          <w:lang w:val="en-US"/>
        </w:rPr>
        <w:t>UL timing jumps caused by</w:t>
      </w:r>
      <w:r w:rsidR="00696E52">
        <w:t xml:space="preserve"> </w:t>
      </w:r>
      <w:r>
        <w:t xml:space="preserve">these are </w:t>
      </w:r>
      <w:r>
        <w:rPr>
          <w:rFonts w:cs="Arial"/>
          <w:color w:val="000000"/>
          <w:szCs w:val="21"/>
          <w:shd w:val="clear" w:color="auto" w:fill="FFFFFF"/>
          <w:lang w:val="en-US"/>
        </w:rPr>
        <w:t>typically smaller and can be controlled by the network through careful setting of the validity timer.</w:t>
      </w:r>
      <w:bookmarkEnd w:id="2"/>
    </w:p>
    <w:p w14:paraId="5C84192E" w14:textId="4BBB957F" w:rsidR="00D44342" w:rsidRDefault="007145B4" w:rsidP="007145B4">
      <w:pPr>
        <w:pStyle w:val="Observation"/>
      </w:pPr>
      <w:bookmarkStart w:id="3" w:name="_Toc101512715"/>
      <w:r>
        <w:rPr>
          <w:shd w:val="clear" w:color="auto" w:fill="FFFFFF"/>
          <w:lang w:val="en-US"/>
        </w:rPr>
        <w:t>N</w:t>
      </w:r>
      <w:r w:rsidR="00D44342">
        <w:rPr>
          <w:shd w:val="clear" w:color="auto" w:fill="FFFFFF"/>
          <w:lang w:val="en-US"/>
        </w:rPr>
        <w:t>o further work is needed in RAN1 on the combination of open and closed loop TA control.</w:t>
      </w:r>
      <w:bookmarkEnd w:id="3"/>
    </w:p>
    <w:p w14:paraId="5300F849" w14:textId="76DD651E" w:rsidR="00C01F33" w:rsidRPr="00A85EAA" w:rsidRDefault="00C01F33" w:rsidP="00CE0424">
      <w:pPr>
        <w:pStyle w:val="Heading1"/>
        <w:rPr>
          <w:lang w:val="en-US"/>
        </w:rPr>
      </w:pPr>
      <w:r w:rsidRPr="00A85EAA">
        <w:rPr>
          <w:lang w:val="en-US"/>
        </w:rPr>
        <w:t>Conclusion</w:t>
      </w:r>
    </w:p>
    <w:p w14:paraId="3F3FD5AB" w14:textId="68402471" w:rsidR="003F7452" w:rsidRPr="00DA565E" w:rsidRDefault="00F03DAF" w:rsidP="00DA565E">
      <w:pPr>
        <w:jc w:val="both"/>
        <w:rPr>
          <w:rFonts w:ascii="Arial" w:hAnsi="Arial" w:cs="Arial"/>
        </w:rPr>
      </w:pPr>
      <w:r w:rsidRPr="00DA565E">
        <w:rPr>
          <w:rFonts w:ascii="Arial" w:hAnsi="Arial" w:cs="Arial"/>
        </w:rPr>
        <w:t>In the previous section</w:t>
      </w:r>
      <w:r w:rsidR="00C836D8" w:rsidRPr="00DA565E">
        <w:rPr>
          <w:rFonts w:ascii="Arial" w:hAnsi="Arial" w:cs="Arial"/>
        </w:rPr>
        <w:t>, w</w:t>
      </w:r>
      <w:r w:rsidR="003F7452" w:rsidRPr="00DA565E">
        <w:rPr>
          <w:rFonts w:ascii="Arial" w:hAnsi="Arial" w:cs="Arial"/>
        </w:rPr>
        <w:t>e made the following observations:</w:t>
      </w:r>
      <w:r w:rsidR="003F7452" w:rsidRPr="00DA565E">
        <w:rPr>
          <w:rFonts w:ascii="Arial" w:hAnsi="Arial" w:cs="Arial"/>
          <w:b/>
          <w:bCs/>
        </w:rPr>
        <w:t xml:space="preserve"> </w:t>
      </w:r>
    </w:p>
    <w:p w14:paraId="533001B6" w14:textId="2A90AA68" w:rsidR="007145B4" w:rsidRDefault="003F745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\f O \n \h \z \t "Observation" \c </w:instrText>
      </w:r>
      <w:r>
        <w:rPr>
          <w:b w:val="0"/>
          <w:bCs/>
        </w:rPr>
        <w:fldChar w:fldCharType="separate"/>
      </w:r>
      <w:hyperlink w:anchor="_Toc101512713" w:history="1">
        <w:r w:rsidR="007145B4" w:rsidRPr="005409E3">
          <w:rPr>
            <w:rStyle w:val="Hyperlink"/>
            <w:noProof/>
          </w:rPr>
          <w:t>Observation 1</w:t>
        </w:r>
        <w:r w:rsidR="007145B4">
          <w:rPr>
            <w:rFonts w:asciiTheme="minorHAnsi" w:eastAsiaTheme="minorEastAsia" w:hAnsiTheme="minorHAnsi"/>
            <w:b w:val="0"/>
            <w:noProof/>
            <w:lang w:eastAsia="sv-SE"/>
          </w:rPr>
          <w:tab/>
        </w:r>
        <w:r w:rsidR="007145B4" w:rsidRPr="005409E3">
          <w:rPr>
            <w:rStyle w:val="Hyperlink"/>
            <w:noProof/>
          </w:rPr>
          <w:t>Double correction problems caused by UE position updates will be avoided by the gradual timing adjustment requirement agreed by RAN4.</w:t>
        </w:r>
      </w:hyperlink>
    </w:p>
    <w:p w14:paraId="73BE9515" w14:textId="39A34E1C" w:rsidR="007145B4" w:rsidRDefault="00A169BA">
      <w:pPr>
        <w:pStyle w:val="TableofFigures"/>
        <w:tabs>
          <w:tab w:val="right" w:leader="dot" w:pos="9629"/>
        </w:tabs>
        <w:rPr>
          <w:rFonts w:asciiTheme="minorHAnsi" w:eastAsiaTheme="minorEastAsia" w:hAnsiTheme="minorHAnsi"/>
          <w:b w:val="0"/>
          <w:noProof/>
          <w:lang w:eastAsia="sv-SE"/>
        </w:rPr>
      </w:pPr>
      <w:hyperlink w:anchor="_Toc101512714" w:history="1">
        <w:r w:rsidR="007145B4" w:rsidRPr="005409E3">
          <w:rPr>
            <w:rStyle w:val="Hyperlink"/>
            <w:noProof/>
          </w:rPr>
          <w:t>Observation 2</w:t>
        </w:r>
        <w:r w:rsidR="007145B4">
          <w:rPr>
            <w:rFonts w:asciiTheme="minorHAnsi" w:eastAsiaTheme="minorEastAsia" w:hAnsiTheme="minorHAnsi"/>
            <w:b w:val="0"/>
            <w:noProof/>
            <w:lang w:eastAsia="sv-SE"/>
          </w:rPr>
          <w:tab/>
        </w:r>
        <w:r w:rsidR="007145B4" w:rsidRPr="005409E3">
          <w:rPr>
            <w:rStyle w:val="Hyperlink"/>
            <w:noProof/>
          </w:rPr>
          <w:t xml:space="preserve">Double correction problems caused by </w:t>
        </w:r>
        <w:r w:rsidR="007145B4" w:rsidRPr="005409E3">
          <w:rPr>
            <w:rStyle w:val="Hyperlink"/>
            <w:rFonts w:cs="Arial"/>
            <w:noProof/>
            <w:shd w:val="clear" w:color="auto" w:fill="FFFFFF"/>
            <w:lang w:val="en-US"/>
          </w:rPr>
          <w:t>serving satellite ephemeris and common TA parameter</w:t>
        </w:r>
        <w:r w:rsidR="007145B4" w:rsidRPr="005409E3">
          <w:rPr>
            <w:rStyle w:val="Hyperlink"/>
            <w:noProof/>
          </w:rPr>
          <w:t xml:space="preserve"> updates will not be avoided by the gradual timing adjustment requirement agreed by RAN4. However, these are </w:t>
        </w:r>
        <w:r w:rsidR="007145B4" w:rsidRPr="005409E3">
          <w:rPr>
            <w:rStyle w:val="Hyperlink"/>
            <w:rFonts w:cs="Arial"/>
            <w:noProof/>
            <w:shd w:val="clear" w:color="auto" w:fill="FFFFFF"/>
            <w:lang w:val="en-US"/>
          </w:rPr>
          <w:t>typically smaller and can be controlled by the network through careful setting of the validity timer.</w:t>
        </w:r>
      </w:hyperlink>
    </w:p>
    <w:p w14:paraId="716A2B08" w14:textId="7BB2604F" w:rsidR="007145B4" w:rsidRDefault="00A169BA">
      <w:pPr>
        <w:pStyle w:val="TableofFigures"/>
        <w:tabs>
          <w:tab w:val="right" w:leader="dot" w:pos="9629"/>
        </w:tabs>
        <w:rPr>
          <w:rFonts w:asciiTheme="minorHAnsi" w:eastAsiaTheme="minorEastAsia" w:hAnsiTheme="minorHAnsi"/>
          <w:b w:val="0"/>
          <w:noProof/>
          <w:lang w:eastAsia="sv-SE"/>
        </w:rPr>
      </w:pPr>
      <w:hyperlink w:anchor="_Toc101512715" w:history="1">
        <w:r w:rsidR="007145B4" w:rsidRPr="005409E3">
          <w:rPr>
            <w:rStyle w:val="Hyperlink"/>
            <w:noProof/>
          </w:rPr>
          <w:t>Observation 3</w:t>
        </w:r>
        <w:r w:rsidR="007145B4">
          <w:rPr>
            <w:rFonts w:asciiTheme="minorHAnsi" w:eastAsiaTheme="minorEastAsia" w:hAnsiTheme="minorHAnsi"/>
            <w:b w:val="0"/>
            <w:noProof/>
            <w:lang w:eastAsia="sv-SE"/>
          </w:rPr>
          <w:tab/>
        </w:r>
        <w:r w:rsidR="007145B4" w:rsidRPr="005409E3">
          <w:rPr>
            <w:rStyle w:val="Hyperlink"/>
            <w:noProof/>
            <w:shd w:val="clear" w:color="auto" w:fill="FFFFFF"/>
            <w:lang w:val="en-US"/>
          </w:rPr>
          <w:t>No further work is needed in RAN1 on the combination of open and closed loop TA control.</w:t>
        </w:r>
      </w:hyperlink>
    </w:p>
    <w:p w14:paraId="63CEB9F6" w14:textId="1101BB09" w:rsidR="00571258" w:rsidRDefault="003F7452" w:rsidP="00DA565E">
      <w:pPr>
        <w:pStyle w:val="BodyText"/>
        <w:rPr>
          <w:b/>
          <w:bCs/>
        </w:rPr>
      </w:pPr>
      <w:r>
        <w:rPr>
          <w:b/>
          <w:bCs/>
        </w:rPr>
        <w:fldChar w:fldCharType="end"/>
      </w:r>
      <w:bookmarkStart w:id="4" w:name="_In-sequence_SDU_delivery"/>
      <w:bookmarkEnd w:id="4"/>
    </w:p>
    <w:p w14:paraId="43055322" w14:textId="1A950341" w:rsidR="00185E4A" w:rsidRPr="00A85EAA" w:rsidRDefault="00F507D1" w:rsidP="00114AE3">
      <w:pPr>
        <w:pStyle w:val="Heading1"/>
        <w:rPr>
          <w:lang w:val="en-US"/>
        </w:rPr>
      </w:pPr>
      <w:r w:rsidRPr="00A85EAA">
        <w:rPr>
          <w:lang w:val="en-US"/>
        </w:rPr>
        <w:t>References</w:t>
      </w:r>
      <w:bookmarkStart w:id="5" w:name="_Ref510504022"/>
      <w:bookmarkStart w:id="6" w:name="_Ref510814820"/>
      <w:bookmarkStart w:id="7" w:name="_Ref174151459"/>
      <w:bookmarkStart w:id="8" w:name="_Ref189809556"/>
    </w:p>
    <w:bookmarkStart w:id="9" w:name="_Ref42716514"/>
    <w:bookmarkStart w:id="10" w:name="_Ref45286859"/>
    <w:bookmarkEnd w:id="5"/>
    <w:bookmarkEnd w:id="6"/>
    <w:bookmarkEnd w:id="7"/>
    <w:bookmarkEnd w:id="8"/>
    <w:p w14:paraId="6FDAFAD3" w14:textId="1094B851" w:rsidR="0081032C" w:rsidRDefault="00930FFC" w:rsidP="00930FFC">
      <w:pPr>
        <w:pStyle w:val="Reference"/>
      </w:pPr>
      <w:r w:rsidRPr="00930FFC">
        <w:rPr>
          <w:u w:val="single"/>
          <w:lang w:val="en-GB"/>
        </w:rPr>
        <w:fldChar w:fldCharType="begin"/>
      </w:r>
      <w:r w:rsidRPr="00930FFC">
        <w:rPr>
          <w:u w:val="single"/>
          <w:lang w:val="en-GB"/>
        </w:rPr>
        <w:instrText xml:space="preserve"> HYPERLINK "https://www.3gpp.org/ftp/TSG_RAN/TSG_RAN/TSGR_95e/Docs/RP-220208.zip" </w:instrText>
      </w:r>
      <w:r w:rsidRPr="00930FFC">
        <w:rPr>
          <w:u w:val="single"/>
          <w:lang w:val="en-GB"/>
        </w:rPr>
        <w:fldChar w:fldCharType="separate"/>
      </w:r>
      <w:r w:rsidRPr="00930FFC">
        <w:rPr>
          <w:rStyle w:val="Hyperlink"/>
          <w:lang w:val="en-GB"/>
        </w:rPr>
        <w:t>RP-220208</w:t>
      </w:r>
      <w:r w:rsidRPr="00930FFC">
        <w:fldChar w:fldCharType="end"/>
      </w:r>
      <w:r w:rsidRPr="00930FFC">
        <w:t xml:space="preserve">, </w:t>
      </w:r>
      <w:r w:rsidR="0081032C" w:rsidRPr="00930FFC">
        <w:t>“</w:t>
      </w:r>
      <w:r w:rsidR="0081032C" w:rsidRPr="00930FFC">
        <w:rPr>
          <w:rFonts w:eastAsia="Batang" w:cs="Arial"/>
        </w:rPr>
        <w:t>Solutions for NR to support non-terrestrial networks (NTN)</w:t>
      </w:r>
      <w:r w:rsidR="0081032C" w:rsidRPr="00930FFC">
        <w:t>”</w:t>
      </w:r>
      <w:r w:rsidR="005B747E" w:rsidRPr="00930FFC">
        <w:t>,</w:t>
      </w:r>
      <w:r w:rsidR="0081032C" w:rsidRPr="00930FFC">
        <w:t xml:space="preserve"> </w:t>
      </w:r>
      <w:r w:rsidR="009F3CCA">
        <w:t xml:space="preserve">Thales, </w:t>
      </w:r>
      <w:r w:rsidR="0081032C" w:rsidRPr="00930FFC">
        <w:t>RAN#</w:t>
      </w:r>
      <w:r w:rsidR="000F1E7B" w:rsidRPr="00930FFC">
        <w:t>9</w:t>
      </w:r>
      <w:r w:rsidRPr="00930FFC">
        <w:t>5</w:t>
      </w:r>
      <w:r w:rsidR="007A24A5" w:rsidRPr="00930FFC">
        <w:t>-</w:t>
      </w:r>
      <w:r w:rsidR="0081032C" w:rsidRPr="00930FFC">
        <w:t xml:space="preserve">e, </w:t>
      </w:r>
      <w:r w:rsidRPr="00930FFC">
        <w:t>March</w:t>
      </w:r>
      <w:r w:rsidR="0081032C" w:rsidRPr="00930FFC">
        <w:t xml:space="preserve"> 20</w:t>
      </w:r>
      <w:bookmarkEnd w:id="9"/>
      <w:r w:rsidR="0081032C" w:rsidRPr="00930FFC">
        <w:t>2</w:t>
      </w:r>
      <w:r w:rsidRPr="00930FFC">
        <w:t>2</w:t>
      </w:r>
      <w:r w:rsidR="0081032C" w:rsidRPr="00930FFC">
        <w:t>.</w:t>
      </w:r>
      <w:bookmarkEnd w:id="10"/>
    </w:p>
    <w:bookmarkStart w:id="11" w:name="_Ref101426053"/>
    <w:p w14:paraId="71B15997" w14:textId="7A1D1E2A" w:rsidR="00EA37DB" w:rsidRPr="008131C7" w:rsidRDefault="00D43C2A" w:rsidP="00EA37DB">
      <w:pPr>
        <w:pStyle w:val="Reference"/>
      </w:pPr>
      <w:r>
        <w:fldChar w:fldCharType="begin"/>
      </w:r>
      <w:r>
        <w:instrText xml:space="preserve"> HYPERLINK "https://www.3gpp.org/ftp/tsg_ran/WG1_RL1/TSGR1_106b-e/Docs/R1-2110604.zip" </w:instrText>
      </w:r>
      <w:r>
        <w:fldChar w:fldCharType="separate"/>
      </w:r>
      <w:r w:rsidR="00EA37DB" w:rsidRPr="00D43C2A">
        <w:rPr>
          <w:rStyle w:val="Hyperlink"/>
        </w:rPr>
        <w:t>R1-2110604</w:t>
      </w:r>
      <w:r>
        <w:fldChar w:fldCharType="end"/>
      </w:r>
      <w:r w:rsidR="00EA37DB">
        <w:t xml:space="preserve"> (</w:t>
      </w:r>
      <w:r w:rsidR="00EA37DB" w:rsidRPr="003A050C">
        <w:t>R4-2119413</w:t>
      </w:r>
      <w:r w:rsidR="00EA37DB">
        <w:t>), "</w:t>
      </w:r>
      <w:r w:rsidR="00EA37DB" w:rsidRPr="0029418C">
        <w:t>LS on Combination of open and closed loop TA control in NTN</w:t>
      </w:r>
      <w:r w:rsidR="00EA37DB">
        <w:t xml:space="preserve">", RAN WG1, </w:t>
      </w:r>
      <w:r>
        <w:t>RAN1#106b-e, October 2021</w:t>
      </w:r>
      <w:bookmarkEnd w:id="11"/>
      <w:r w:rsidR="00571258">
        <w:t xml:space="preserve">  </w:t>
      </w:r>
    </w:p>
    <w:bookmarkStart w:id="12" w:name="_Ref101426021"/>
    <w:p w14:paraId="14545D39" w14:textId="02698E17" w:rsidR="00227B4C" w:rsidRPr="001F6BC1" w:rsidRDefault="001F6BC1" w:rsidP="00654EC5">
      <w:pPr>
        <w:pStyle w:val="Reference"/>
      </w:pPr>
      <w:r w:rsidRPr="001F6BC1">
        <w:rPr>
          <w:rFonts w:eastAsia="Times New Roman" w:cs="Arial"/>
        </w:rPr>
        <w:fldChar w:fldCharType="begin"/>
      </w:r>
      <w:r w:rsidRPr="001F6BC1">
        <w:rPr>
          <w:rFonts w:eastAsia="Times New Roman" w:cs="Arial"/>
        </w:rPr>
        <w:instrText xml:space="preserve"> HYPERLINK "https://www.3gpp.org/ftp/tsg_ran/WG1_RL1/TSGR1_108-e/Docs/R1-2200870.zip" </w:instrText>
      </w:r>
      <w:r w:rsidRPr="001F6BC1">
        <w:rPr>
          <w:rFonts w:eastAsia="Times New Roman" w:cs="Arial"/>
        </w:rPr>
        <w:fldChar w:fldCharType="separate"/>
      </w:r>
      <w:r w:rsidR="00227B4C" w:rsidRPr="001F6BC1">
        <w:rPr>
          <w:rStyle w:val="Hyperlink"/>
          <w:rFonts w:eastAsia="Times New Roman" w:cs="Arial"/>
        </w:rPr>
        <w:t>R1-2</w:t>
      </w:r>
      <w:r w:rsidRPr="001F6BC1">
        <w:rPr>
          <w:rStyle w:val="Hyperlink"/>
          <w:rFonts w:eastAsia="Times New Roman" w:cs="Arial"/>
        </w:rPr>
        <w:t>200870</w:t>
      </w:r>
      <w:r w:rsidRPr="001F6BC1">
        <w:rPr>
          <w:rFonts w:eastAsia="Times New Roman" w:cs="Arial"/>
        </w:rPr>
        <w:fldChar w:fldCharType="end"/>
      </w:r>
      <w:r w:rsidR="00227B4C" w:rsidRPr="001F6BC1">
        <w:rPr>
          <w:rFonts w:eastAsia="Times New Roman" w:cs="Arial"/>
        </w:rPr>
        <w:t xml:space="preserve"> (R4-2120417), "</w:t>
      </w:r>
      <w:r w:rsidRPr="001F6BC1">
        <w:rPr>
          <w:rFonts w:eastAsia="Times New Roman" w:cs="Arial"/>
        </w:rPr>
        <w:t>Reply LS on combination of open and closed loop TA control in NTN</w:t>
      </w:r>
      <w:r w:rsidR="00227B4C" w:rsidRPr="001F6BC1">
        <w:rPr>
          <w:rFonts w:eastAsia="Times New Roman" w:cs="Arial"/>
        </w:rPr>
        <w:t>"</w:t>
      </w:r>
      <w:r>
        <w:rPr>
          <w:rFonts w:eastAsia="Times New Roman" w:cs="Arial"/>
        </w:rPr>
        <w:t>, RAN WG4, RAN1#108-e, February 2022</w:t>
      </w:r>
    </w:p>
    <w:bookmarkStart w:id="13" w:name="_Ref101427135"/>
    <w:p w14:paraId="7DD823BC" w14:textId="223F2B86" w:rsidR="00227B4C" w:rsidRPr="00A85EAA" w:rsidRDefault="00EA37DB" w:rsidP="0076587D">
      <w:pPr>
        <w:pStyle w:val="Reference"/>
      </w:pPr>
      <w:r w:rsidRPr="00EA37DB">
        <w:fldChar w:fldCharType="begin"/>
      </w:r>
      <w:r>
        <w:instrText>HYPERLINK "https://www.3gpp.org/ftp/tsg_ran/WG1_RL1/TSGR1_109-e/Docs/R1-2203020.zip"</w:instrText>
      </w:r>
      <w:r w:rsidRPr="00EA37DB">
        <w:fldChar w:fldCharType="separate"/>
      </w:r>
      <w:r>
        <w:rPr>
          <w:rStyle w:val="Hyperlink"/>
        </w:rPr>
        <w:t>R1-2203020</w:t>
      </w:r>
      <w:r w:rsidRPr="00EA37DB">
        <w:fldChar w:fldCharType="end"/>
      </w:r>
      <w:r w:rsidR="00FA29C5">
        <w:t xml:space="preserve"> (</w:t>
      </w:r>
      <w:r w:rsidR="00FA29C5" w:rsidRPr="00FA29C5">
        <w:t>R4-2206905</w:t>
      </w:r>
      <w:r w:rsidR="00FA29C5">
        <w:t>)</w:t>
      </w:r>
      <w:r>
        <w:t>, "</w:t>
      </w:r>
      <w:r w:rsidRPr="00EA37DB">
        <w:t>Reply LS on combination of open and closed loop TA control in NTN</w:t>
      </w:r>
      <w:r>
        <w:t>", RAN WG4, RAN1#109-e, May 2022</w:t>
      </w:r>
      <w:bookmarkEnd w:id="12"/>
      <w:bookmarkEnd w:id="13"/>
    </w:p>
    <w:sectPr w:rsidR="00227B4C" w:rsidRPr="00A85EA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7E70" w14:textId="77777777" w:rsidR="008A2E5F" w:rsidRDefault="008A2E5F">
      <w:r>
        <w:separator/>
      </w:r>
    </w:p>
  </w:endnote>
  <w:endnote w:type="continuationSeparator" w:id="0">
    <w:p w14:paraId="6293EA71" w14:textId="77777777" w:rsidR="008A2E5F" w:rsidRDefault="008A2E5F">
      <w:r>
        <w:continuationSeparator/>
      </w:r>
    </w:p>
  </w:endnote>
  <w:endnote w:type="continuationNotice" w:id="1">
    <w:p w14:paraId="10C91C2D" w14:textId="77777777" w:rsidR="008A2E5F" w:rsidRDefault="008A2E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8ABA3" w14:textId="77777777" w:rsidR="008A2E5F" w:rsidRDefault="008A2E5F">
      <w:r>
        <w:separator/>
      </w:r>
    </w:p>
  </w:footnote>
  <w:footnote w:type="continuationSeparator" w:id="0">
    <w:p w14:paraId="4E10FEE9" w14:textId="77777777" w:rsidR="008A2E5F" w:rsidRDefault="008A2E5F">
      <w:r>
        <w:continuationSeparator/>
      </w:r>
    </w:p>
  </w:footnote>
  <w:footnote w:type="continuationNotice" w:id="1">
    <w:p w14:paraId="6994BE0E" w14:textId="77777777" w:rsidR="008A2E5F" w:rsidRDefault="008A2E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45pt;height:75pt" o:bullet="t">
        <v:imagedata r:id="rId1" o:title=""/>
      </v:shape>
    </w:pict>
  </w:numPicBullet>
  <w:abstractNum w:abstractNumId="0" w15:restartNumberingAfterBreak="0">
    <w:nsid w:val="FFFFFF7C"/>
    <w:multiLevelType w:val="singleLevel"/>
    <w:tmpl w:val="D0D889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6AC0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C41CCA"/>
    <w:multiLevelType w:val="hybridMultilevel"/>
    <w:tmpl w:val="39108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5" w15:restartNumberingAfterBreak="0">
    <w:nsid w:val="25C3755A"/>
    <w:multiLevelType w:val="hybridMultilevel"/>
    <w:tmpl w:val="83222E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14326D"/>
    <w:multiLevelType w:val="hybridMultilevel"/>
    <w:tmpl w:val="65D073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1B488D"/>
    <w:multiLevelType w:val="hybridMultilevel"/>
    <w:tmpl w:val="FC4A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CD2966"/>
    <w:multiLevelType w:val="hybridMultilevel"/>
    <w:tmpl w:val="B0F2E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3528E0"/>
    <w:multiLevelType w:val="hybridMultilevel"/>
    <w:tmpl w:val="882A2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9F20DE"/>
    <w:multiLevelType w:val="hybridMultilevel"/>
    <w:tmpl w:val="46C67CCC"/>
    <w:lvl w:ilvl="0" w:tplc="4094BE7A">
      <w:start w:val="1"/>
      <w:numFmt w:val="bullet"/>
      <w:lvlText w:val=""/>
      <w:lvlJc w:val="left"/>
      <w:pPr>
        <w:tabs>
          <w:tab w:val="num" w:pos="720"/>
        </w:tabs>
        <w:ind w:left="720" w:hanging="360"/>
      </w:pPr>
      <w:rPr>
        <w:rFonts w:ascii="Symbol" w:hAnsi="Symbol" w:hint="default"/>
      </w:rPr>
    </w:lvl>
    <w:lvl w:ilvl="1" w:tplc="CFD81834" w:tentative="1">
      <w:start w:val="1"/>
      <w:numFmt w:val="bullet"/>
      <w:lvlText w:val=""/>
      <w:lvlJc w:val="left"/>
      <w:pPr>
        <w:tabs>
          <w:tab w:val="num" w:pos="1440"/>
        </w:tabs>
        <w:ind w:left="1440" w:hanging="360"/>
      </w:pPr>
      <w:rPr>
        <w:rFonts w:ascii="Symbol" w:hAnsi="Symbol" w:hint="default"/>
      </w:rPr>
    </w:lvl>
    <w:lvl w:ilvl="2" w:tplc="08CA85A0">
      <w:start w:val="1"/>
      <w:numFmt w:val="bullet"/>
      <w:lvlText w:val=""/>
      <w:lvlJc w:val="left"/>
      <w:pPr>
        <w:tabs>
          <w:tab w:val="num" w:pos="2160"/>
        </w:tabs>
        <w:ind w:left="2160" w:hanging="360"/>
      </w:pPr>
      <w:rPr>
        <w:rFonts w:ascii="Symbol" w:hAnsi="Symbol" w:hint="default"/>
      </w:rPr>
    </w:lvl>
    <w:lvl w:ilvl="3" w:tplc="E35004D4" w:tentative="1">
      <w:start w:val="1"/>
      <w:numFmt w:val="bullet"/>
      <w:lvlText w:val=""/>
      <w:lvlJc w:val="left"/>
      <w:pPr>
        <w:tabs>
          <w:tab w:val="num" w:pos="2880"/>
        </w:tabs>
        <w:ind w:left="2880" w:hanging="360"/>
      </w:pPr>
      <w:rPr>
        <w:rFonts w:ascii="Symbol" w:hAnsi="Symbol" w:hint="default"/>
      </w:rPr>
    </w:lvl>
    <w:lvl w:ilvl="4" w:tplc="7E9E06A4" w:tentative="1">
      <w:start w:val="1"/>
      <w:numFmt w:val="bullet"/>
      <w:lvlText w:val=""/>
      <w:lvlJc w:val="left"/>
      <w:pPr>
        <w:tabs>
          <w:tab w:val="num" w:pos="3600"/>
        </w:tabs>
        <w:ind w:left="3600" w:hanging="360"/>
      </w:pPr>
      <w:rPr>
        <w:rFonts w:ascii="Symbol" w:hAnsi="Symbol" w:hint="default"/>
      </w:rPr>
    </w:lvl>
    <w:lvl w:ilvl="5" w:tplc="02A4BE5C" w:tentative="1">
      <w:start w:val="1"/>
      <w:numFmt w:val="bullet"/>
      <w:lvlText w:val=""/>
      <w:lvlJc w:val="left"/>
      <w:pPr>
        <w:tabs>
          <w:tab w:val="num" w:pos="4320"/>
        </w:tabs>
        <w:ind w:left="4320" w:hanging="360"/>
      </w:pPr>
      <w:rPr>
        <w:rFonts w:ascii="Symbol" w:hAnsi="Symbol" w:hint="default"/>
      </w:rPr>
    </w:lvl>
    <w:lvl w:ilvl="6" w:tplc="59A2ED8C" w:tentative="1">
      <w:start w:val="1"/>
      <w:numFmt w:val="bullet"/>
      <w:lvlText w:val=""/>
      <w:lvlJc w:val="left"/>
      <w:pPr>
        <w:tabs>
          <w:tab w:val="num" w:pos="5040"/>
        </w:tabs>
        <w:ind w:left="5040" w:hanging="360"/>
      </w:pPr>
      <w:rPr>
        <w:rFonts w:ascii="Symbol" w:hAnsi="Symbol" w:hint="default"/>
      </w:rPr>
    </w:lvl>
    <w:lvl w:ilvl="7" w:tplc="B958F2A8" w:tentative="1">
      <w:start w:val="1"/>
      <w:numFmt w:val="bullet"/>
      <w:lvlText w:val=""/>
      <w:lvlJc w:val="left"/>
      <w:pPr>
        <w:tabs>
          <w:tab w:val="num" w:pos="5760"/>
        </w:tabs>
        <w:ind w:left="5760" w:hanging="360"/>
      </w:pPr>
      <w:rPr>
        <w:rFonts w:ascii="Symbol" w:hAnsi="Symbol" w:hint="default"/>
      </w:rPr>
    </w:lvl>
    <w:lvl w:ilvl="8" w:tplc="9A0647C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66A1A2B"/>
    <w:multiLevelType w:val="hybridMultilevel"/>
    <w:tmpl w:val="186E9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AAC58CC"/>
    <w:multiLevelType w:val="hybridMultilevel"/>
    <w:tmpl w:val="67A47F1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8" w15:restartNumberingAfterBreak="0">
    <w:nsid w:val="7C3B3BFF"/>
    <w:multiLevelType w:val="hybridMultilevel"/>
    <w:tmpl w:val="AEB00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2"/>
  </w:num>
  <w:num w:numId="4">
    <w:abstractNumId w:val="31"/>
  </w:num>
  <w:num w:numId="5">
    <w:abstractNumId w:val="32"/>
  </w:num>
  <w:num w:numId="6">
    <w:abstractNumId w:val="36"/>
  </w:num>
  <w:num w:numId="7">
    <w:abstractNumId w:val="11"/>
  </w:num>
  <w:num w:numId="8">
    <w:abstractNumId w:val="16"/>
  </w:num>
  <w:num w:numId="9">
    <w:abstractNumId w:val="8"/>
  </w:num>
  <w:num w:numId="10">
    <w:abstractNumId w:val="42"/>
  </w:num>
  <w:num w:numId="11">
    <w:abstractNumId w:val="22"/>
  </w:num>
  <w:num w:numId="12">
    <w:abstractNumId w:val="41"/>
  </w:num>
  <w:num w:numId="13">
    <w:abstractNumId w:val="20"/>
  </w:num>
  <w:num w:numId="14">
    <w:abstractNumId w:val="6"/>
  </w:num>
  <w:num w:numId="15">
    <w:abstractNumId w:val="30"/>
  </w:num>
  <w:num w:numId="16">
    <w:abstractNumId w:val="18"/>
  </w:num>
  <w:num w:numId="17">
    <w:abstractNumId w:val="5"/>
  </w:num>
  <w:num w:numId="18">
    <w:abstractNumId w:val="19"/>
  </w:num>
  <w:num w:numId="19">
    <w:abstractNumId w:val="39"/>
  </w:num>
  <w:num w:numId="20">
    <w:abstractNumId w:val="7"/>
  </w:num>
  <w:num w:numId="21">
    <w:abstractNumId w:val="35"/>
  </w:num>
  <w:num w:numId="22">
    <w:abstractNumId w:val="45"/>
  </w:num>
  <w:num w:numId="23">
    <w:abstractNumId w:val="38"/>
  </w:num>
  <w:num w:numId="24">
    <w:abstractNumId w:val="37"/>
  </w:num>
  <w:num w:numId="25">
    <w:abstractNumId w:val="4"/>
  </w:num>
  <w:num w:numId="26">
    <w:abstractNumId w:val="3"/>
  </w:num>
  <w:num w:numId="27">
    <w:abstractNumId w:val="10"/>
  </w:num>
  <w:num w:numId="28">
    <w:abstractNumId w:val="46"/>
  </w:num>
  <w:num w:numId="29">
    <w:abstractNumId w:val="23"/>
  </w:num>
  <w:num w:numId="30">
    <w:abstractNumId w:val="40"/>
  </w:num>
  <w:num w:numId="31">
    <w:abstractNumId w:val="9"/>
  </w:num>
  <w:num w:numId="32">
    <w:abstractNumId w:val="27"/>
  </w:num>
  <w:num w:numId="33">
    <w:abstractNumId w:val="25"/>
  </w:num>
  <w:num w:numId="34">
    <w:abstractNumId w:val="21"/>
  </w:num>
  <w:num w:numId="35">
    <w:abstractNumId w:val="34"/>
  </w:num>
  <w:num w:numId="36">
    <w:abstractNumId w:val="44"/>
  </w:num>
  <w:num w:numId="37">
    <w:abstractNumId w:val="48"/>
  </w:num>
  <w:num w:numId="38">
    <w:abstractNumId w:val="24"/>
  </w:num>
  <w:num w:numId="39">
    <w:abstractNumId w:val="1"/>
  </w:num>
  <w:num w:numId="40">
    <w:abstractNumId w:val="0"/>
  </w:num>
  <w:num w:numId="41">
    <w:abstractNumId w:val="12"/>
  </w:num>
  <w:num w:numId="42">
    <w:abstractNumId w:val="17"/>
  </w:num>
  <w:num w:numId="43">
    <w:abstractNumId w:val="14"/>
  </w:num>
  <w:num w:numId="44">
    <w:abstractNumId w:val="47"/>
  </w:num>
  <w:num w:numId="45">
    <w:abstractNumId w:val="43"/>
  </w:num>
  <w:num w:numId="46">
    <w:abstractNumId w:val="13"/>
  </w:num>
  <w:num w:numId="47">
    <w:abstractNumId w:val="33"/>
  </w:num>
  <w:num w:numId="48">
    <w:abstractNumId w:val="15"/>
  </w:num>
  <w:num w:numId="49">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2FE6"/>
    <w:rsid w:val="0000564C"/>
    <w:rsid w:val="00006446"/>
    <w:rsid w:val="00006896"/>
    <w:rsid w:val="00007CDC"/>
    <w:rsid w:val="00010451"/>
    <w:rsid w:val="00010F01"/>
    <w:rsid w:val="00011B28"/>
    <w:rsid w:val="00011F6B"/>
    <w:rsid w:val="00012495"/>
    <w:rsid w:val="00012904"/>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50B0"/>
    <w:rsid w:val="0005606A"/>
    <w:rsid w:val="00057117"/>
    <w:rsid w:val="00057A10"/>
    <w:rsid w:val="0006060C"/>
    <w:rsid w:val="000616E7"/>
    <w:rsid w:val="0006487E"/>
    <w:rsid w:val="0006535A"/>
    <w:rsid w:val="00065E1A"/>
    <w:rsid w:val="0006734D"/>
    <w:rsid w:val="0007155D"/>
    <w:rsid w:val="000738AC"/>
    <w:rsid w:val="000748AA"/>
    <w:rsid w:val="000750D5"/>
    <w:rsid w:val="00076001"/>
    <w:rsid w:val="00077468"/>
    <w:rsid w:val="00077AF9"/>
    <w:rsid w:val="00077E5F"/>
    <w:rsid w:val="0008036A"/>
    <w:rsid w:val="00081160"/>
    <w:rsid w:val="0008193D"/>
    <w:rsid w:val="00081AE6"/>
    <w:rsid w:val="00081E7D"/>
    <w:rsid w:val="00083D19"/>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48F"/>
    <w:rsid w:val="000B5722"/>
    <w:rsid w:val="000B58C3"/>
    <w:rsid w:val="000B5B4E"/>
    <w:rsid w:val="000B61E9"/>
    <w:rsid w:val="000B71EB"/>
    <w:rsid w:val="000C0BA0"/>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634B"/>
    <w:rsid w:val="000D7F1F"/>
    <w:rsid w:val="000E0527"/>
    <w:rsid w:val="000E1E92"/>
    <w:rsid w:val="000E2BE5"/>
    <w:rsid w:val="000E369D"/>
    <w:rsid w:val="000E36AB"/>
    <w:rsid w:val="000E5128"/>
    <w:rsid w:val="000E7165"/>
    <w:rsid w:val="000F0116"/>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0B56"/>
    <w:rsid w:val="001219F5"/>
    <w:rsid w:val="00121A20"/>
    <w:rsid w:val="00122385"/>
    <w:rsid w:val="0012278F"/>
    <w:rsid w:val="0012377F"/>
    <w:rsid w:val="00124314"/>
    <w:rsid w:val="00125228"/>
    <w:rsid w:val="00126681"/>
    <w:rsid w:val="00126B4A"/>
    <w:rsid w:val="001303E2"/>
    <w:rsid w:val="0013123D"/>
    <w:rsid w:val="001313C4"/>
    <w:rsid w:val="0013197F"/>
    <w:rsid w:val="00132FD0"/>
    <w:rsid w:val="00133DD3"/>
    <w:rsid w:val="00133F6C"/>
    <w:rsid w:val="001344C0"/>
    <w:rsid w:val="001346FA"/>
    <w:rsid w:val="00135252"/>
    <w:rsid w:val="001377C4"/>
    <w:rsid w:val="00137AB5"/>
    <w:rsid w:val="00137F0B"/>
    <w:rsid w:val="001414D7"/>
    <w:rsid w:val="001439B0"/>
    <w:rsid w:val="00145800"/>
    <w:rsid w:val="00151E23"/>
    <w:rsid w:val="001526E0"/>
    <w:rsid w:val="001551B5"/>
    <w:rsid w:val="001553A5"/>
    <w:rsid w:val="00155480"/>
    <w:rsid w:val="00156589"/>
    <w:rsid w:val="0016097D"/>
    <w:rsid w:val="001614F9"/>
    <w:rsid w:val="00161575"/>
    <w:rsid w:val="00161B75"/>
    <w:rsid w:val="001621FF"/>
    <w:rsid w:val="00162C1B"/>
    <w:rsid w:val="001639D9"/>
    <w:rsid w:val="00163DF4"/>
    <w:rsid w:val="00164076"/>
    <w:rsid w:val="001659C1"/>
    <w:rsid w:val="0016666C"/>
    <w:rsid w:val="001724C0"/>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0D4B"/>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5500"/>
    <w:rsid w:val="001C7349"/>
    <w:rsid w:val="001D09D0"/>
    <w:rsid w:val="001D0B8B"/>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6BC1"/>
    <w:rsid w:val="001F7074"/>
    <w:rsid w:val="001F764B"/>
    <w:rsid w:val="00200400"/>
    <w:rsid w:val="00200490"/>
    <w:rsid w:val="002014DD"/>
    <w:rsid w:val="00201F3A"/>
    <w:rsid w:val="00203F56"/>
    <w:rsid w:val="00203F96"/>
    <w:rsid w:val="002069B2"/>
    <w:rsid w:val="00207C8E"/>
    <w:rsid w:val="00207FA3"/>
    <w:rsid w:val="002115A2"/>
    <w:rsid w:val="00211B9C"/>
    <w:rsid w:val="002127F4"/>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27B4C"/>
    <w:rsid w:val="00227DBD"/>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45EF7"/>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4D3D"/>
    <w:rsid w:val="002B5D42"/>
    <w:rsid w:val="002B626A"/>
    <w:rsid w:val="002C19F3"/>
    <w:rsid w:val="002C4191"/>
    <w:rsid w:val="002C41E6"/>
    <w:rsid w:val="002C4E9F"/>
    <w:rsid w:val="002D034F"/>
    <w:rsid w:val="002D071A"/>
    <w:rsid w:val="002D34B2"/>
    <w:rsid w:val="002D48B0"/>
    <w:rsid w:val="002D490F"/>
    <w:rsid w:val="002D5A69"/>
    <w:rsid w:val="002D5B37"/>
    <w:rsid w:val="002D6010"/>
    <w:rsid w:val="002D676D"/>
    <w:rsid w:val="002D7637"/>
    <w:rsid w:val="002D7E85"/>
    <w:rsid w:val="002E17F2"/>
    <w:rsid w:val="002E3BD1"/>
    <w:rsid w:val="002E583A"/>
    <w:rsid w:val="002E5CC3"/>
    <w:rsid w:val="002E76DD"/>
    <w:rsid w:val="002E7CAE"/>
    <w:rsid w:val="002F1017"/>
    <w:rsid w:val="002F2771"/>
    <w:rsid w:val="002F37A9"/>
    <w:rsid w:val="002F5755"/>
    <w:rsid w:val="0030039F"/>
    <w:rsid w:val="00301CE6"/>
    <w:rsid w:val="0030256B"/>
    <w:rsid w:val="00303D64"/>
    <w:rsid w:val="0030501F"/>
    <w:rsid w:val="0030616D"/>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75A"/>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6C6C"/>
    <w:rsid w:val="003A70A4"/>
    <w:rsid w:val="003A7EF3"/>
    <w:rsid w:val="003B060E"/>
    <w:rsid w:val="003B0BE3"/>
    <w:rsid w:val="003B159C"/>
    <w:rsid w:val="003B17FA"/>
    <w:rsid w:val="003B369F"/>
    <w:rsid w:val="003B36A3"/>
    <w:rsid w:val="003B4CB5"/>
    <w:rsid w:val="003B57F1"/>
    <w:rsid w:val="003B585C"/>
    <w:rsid w:val="003B64BB"/>
    <w:rsid w:val="003B6CAB"/>
    <w:rsid w:val="003B77C7"/>
    <w:rsid w:val="003B7FE5"/>
    <w:rsid w:val="003C11C8"/>
    <w:rsid w:val="003C20D7"/>
    <w:rsid w:val="003C2702"/>
    <w:rsid w:val="003C4777"/>
    <w:rsid w:val="003C4B5F"/>
    <w:rsid w:val="003C6B30"/>
    <w:rsid w:val="003C7148"/>
    <w:rsid w:val="003C7806"/>
    <w:rsid w:val="003D0B64"/>
    <w:rsid w:val="003D109F"/>
    <w:rsid w:val="003D115A"/>
    <w:rsid w:val="003D2478"/>
    <w:rsid w:val="003D3C45"/>
    <w:rsid w:val="003D4C48"/>
    <w:rsid w:val="003D5A6A"/>
    <w:rsid w:val="003D5B1F"/>
    <w:rsid w:val="003D65BC"/>
    <w:rsid w:val="003D737A"/>
    <w:rsid w:val="003D7CD1"/>
    <w:rsid w:val="003E092C"/>
    <w:rsid w:val="003E0B74"/>
    <w:rsid w:val="003E15E3"/>
    <w:rsid w:val="003E15FA"/>
    <w:rsid w:val="003E55E4"/>
    <w:rsid w:val="003E6070"/>
    <w:rsid w:val="003E6476"/>
    <w:rsid w:val="003E660B"/>
    <w:rsid w:val="003E66BC"/>
    <w:rsid w:val="003E67E8"/>
    <w:rsid w:val="003E74E3"/>
    <w:rsid w:val="003F05C7"/>
    <w:rsid w:val="003F2CD4"/>
    <w:rsid w:val="003F2D87"/>
    <w:rsid w:val="003F3F3E"/>
    <w:rsid w:val="003F4180"/>
    <w:rsid w:val="003F427B"/>
    <w:rsid w:val="003F5872"/>
    <w:rsid w:val="003F599E"/>
    <w:rsid w:val="003F6BBE"/>
    <w:rsid w:val="003F7452"/>
    <w:rsid w:val="004000E8"/>
    <w:rsid w:val="004001FA"/>
    <w:rsid w:val="0040218F"/>
    <w:rsid w:val="00402888"/>
    <w:rsid w:val="00402E2B"/>
    <w:rsid w:val="00403676"/>
    <w:rsid w:val="00404DAD"/>
    <w:rsid w:val="0040512B"/>
    <w:rsid w:val="00405CA5"/>
    <w:rsid w:val="00406443"/>
    <w:rsid w:val="0040685F"/>
    <w:rsid w:val="00407CD3"/>
    <w:rsid w:val="00410134"/>
    <w:rsid w:val="00410438"/>
    <w:rsid w:val="00410B72"/>
    <w:rsid w:val="00410F18"/>
    <w:rsid w:val="0041263E"/>
    <w:rsid w:val="00413AAC"/>
    <w:rsid w:val="00413E92"/>
    <w:rsid w:val="00414803"/>
    <w:rsid w:val="00416169"/>
    <w:rsid w:val="00416222"/>
    <w:rsid w:val="0041663C"/>
    <w:rsid w:val="00420776"/>
    <w:rsid w:val="00420CED"/>
    <w:rsid w:val="00421105"/>
    <w:rsid w:val="004229D9"/>
    <w:rsid w:val="00422AA4"/>
    <w:rsid w:val="004242F4"/>
    <w:rsid w:val="004254A8"/>
    <w:rsid w:val="00427248"/>
    <w:rsid w:val="004317EE"/>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2BF9"/>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52D8"/>
    <w:rsid w:val="004B6058"/>
    <w:rsid w:val="004B6F6A"/>
    <w:rsid w:val="004B79D1"/>
    <w:rsid w:val="004B7C0C"/>
    <w:rsid w:val="004C2548"/>
    <w:rsid w:val="004C3898"/>
    <w:rsid w:val="004C3CA7"/>
    <w:rsid w:val="004C6B0C"/>
    <w:rsid w:val="004C6F5F"/>
    <w:rsid w:val="004D0FC5"/>
    <w:rsid w:val="004D19E1"/>
    <w:rsid w:val="004D36B1"/>
    <w:rsid w:val="004D6725"/>
    <w:rsid w:val="004D6A5B"/>
    <w:rsid w:val="004D73A8"/>
    <w:rsid w:val="004D7EBD"/>
    <w:rsid w:val="004E1592"/>
    <w:rsid w:val="004E2110"/>
    <w:rsid w:val="004E2680"/>
    <w:rsid w:val="004E28F9"/>
    <w:rsid w:val="004E42C9"/>
    <w:rsid w:val="004E462E"/>
    <w:rsid w:val="004E56DC"/>
    <w:rsid w:val="004E5D8D"/>
    <w:rsid w:val="004E6F71"/>
    <w:rsid w:val="004E76F4"/>
    <w:rsid w:val="004E77CA"/>
    <w:rsid w:val="004F0A7E"/>
    <w:rsid w:val="004F0B4E"/>
    <w:rsid w:val="004F0B6C"/>
    <w:rsid w:val="004F2078"/>
    <w:rsid w:val="004F24D8"/>
    <w:rsid w:val="004F4978"/>
    <w:rsid w:val="004F4DA3"/>
    <w:rsid w:val="004F5941"/>
    <w:rsid w:val="004F5F37"/>
    <w:rsid w:val="004F7CF3"/>
    <w:rsid w:val="005029D7"/>
    <w:rsid w:val="00506557"/>
    <w:rsid w:val="0050677A"/>
    <w:rsid w:val="00506FB2"/>
    <w:rsid w:val="005100EC"/>
    <w:rsid w:val="005108D8"/>
    <w:rsid w:val="00510F51"/>
    <w:rsid w:val="005116F9"/>
    <w:rsid w:val="00514158"/>
    <w:rsid w:val="005147D3"/>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0E57"/>
    <w:rsid w:val="0055306A"/>
    <w:rsid w:val="00554E19"/>
    <w:rsid w:val="005565C7"/>
    <w:rsid w:val="0055737E"/>
    <w:rsid w:val="00560227"/>
    <w:rsid w:val="0056121F"/>
    <w:rsid w:val="00562A90"/>
    <w:rsid w:val="00565FFB"/>
    <w:rsid w:val="0056603E"/>
    <w:rsid w:val="005662D7"/>
    <w:rsid w:val="00566781"/>
    <w:rsid w:val="00567FF7"/>
    <w:rsid w:val="005701C5"/>
    <w:rsid w:val="00571258"/>
    <w:rsid w:val="00572505"/>
    <w:rsid w:val="00576CCF"/>
    <w:rsid w:val="00582809"/>
    <w:rsid w:val="00583709"/>
    <w:rsid w:val="00586A19"/>
    <w:rsid w:val="0058798C"/>
    <w:rsid w:val="005879CB"/>
    <w:rsid w:val="005900FA"/>
    <w:rsid w:val="00590836"/>
    <w:rsid w:val="00590B2A"/>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47E"/>
    <w:rsid w:val="005B776F"/>
    <w:rsid w:val="005B787C"/>
    <w:rsid w:val="005C024A"/>
    <w:rsid w:val="005C0275"/>
    <w:rsid w:val="005C07C8"/>
    <w:rsid w:val="005C119F"/>
    <w:rsid w:val="005C1AB5"/>
    <w:rsid w:val="005C425F"/>
    <w:rsid w:val="005C447D"/>
    <w:rsid w:val="005C4E71"/>
    <w:rsid w:val="005C4F3E"/>
    <w:rsid w:val="005C66ED"/>
    <w:rsid w:val="005C74FB"/>
    <w:rsid w:val="005C7F0D"/>
    <w:rsid w:val="005D0F19"/>
    <w:rsid w:val="005D1151"/>
    <w:rsid w:val="005D1602"/>
    <w:rsid w:val="005D25D1"/>
    <w:rsid w:val="005D3B58"/>
    <w:rsid w:val="005D3C19"/>
    <w:rsid w:val="005D3C5E"/>
    <w:rsid w:val="005D4FDF"/>
    <w:rsid w:val="005D536C"/>
    <w:rsid w:val="005E30CD"/>
    <w:rsid w:val="005E385F"/>
    <w:rsid w:val="005E5632"/>
    <w:rsid w:val="005E5888"/>
    <w:rsid w:val="005E58E1"/>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37CC8"/>
    <w:rsid w:val="0064151F"/>
    <w:rsid w:val="00641533"/>
    <w:rsid w:val="0064208D"/>
    <w:rsid w:val="00643475"/>
    <w:rsid w:val="0064396A"/>
    <w:rsid w:val="0064520E"/>
    <w:rsid w:val="00645574"/>
    <w:rsid w:val="006461B8"/>
    <w:rsid w:val="0064624E"/>
    <w:rsid w:val="00647389"/>
    <w:rsid w:val="006500B6"/>
    <w:rsid w:val="00650AB9"/>
    <w:rsid w:val="00650C6C"/>
    <w:rsid w:val="006543CB"/>
    <w:rsid w:val="00654DC4"/>
    <w:rsid w:val="00654EC5"/>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6E52"/>
    <w:rsid w:val="00697052"/>
    <w:rsid w:val="00697181"/>
    <w:rsid w:val="006A20C2"/>
    <w:rsid w:val="006A32FD"/>
    <w:rsid w:val="006A3D9A"/>
    <w:rsid w:val="006A4215"/>
    <w:rsid w:val="006A46FB"/>
    <w:rsid w:val="006A5A3D"/>
    <w:rsid w:val="006A5E28"/>
    <w:rsid w:val="006A697B"/>
    <w:rsid w:val="006A6F89"/>
    <w:rsid w:val="006A71E2"/>
    <w:rsid w:val="006A7AFF"/>
    <w:rsid w:val="006B04D8"/>
    <w:rsid w:val="006B1816"/>
    <w:rsid w:val="006B2099"/>
    <w:rsid w:val="006B47F6"/>
    <w:rsid w:val="006B50CF"/>
    <w:rsid w:val="006C0024"/>
    <w:rsid w:val="006C03B8"/>
    <w:rsid w:val="006C0A85"/>
    <w:rsid w:val="006C1C20"/>
    <w:rsid w:val="006C1C7B"/>
    <w:rsid w:val="006C2982"/>
    <w:rsid w:val="006C457B"/>
    <w:rsid w:val="006C5794"/>
    <w:rsid w:val="006C5EC9"/>
    <w:rsid w:val="006C6059"/>
    <w:rsid w:val="006C643E"/>
    <w:rsid w:val="006C7522"/>
    <w:rsid w:val="006D05C3"/>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75C"/>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5B4"/>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2B17"/>
    <w:rsid w:val="0073313D"/>
    <w:rsid w:val="00733C4D"/>
    <w:rsid w:val="00733FD0"/>
    <w:rsid w:val="007348B1"/>
    <w:rsid w:val="00735186"/>
    <w:rsid w:val="007362A6"/>
    <w:rsid w:val="00736411"/>
    <w:rsid w:val="00736852"/>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6C48"/>
    <w:rsid w:val="007571E1"/>
    <w:rsid w:val="00757D90"/>
    <w:rsid w:val="007604B2"/>
    <w:rsid w:val="007610F5"/>
    <w:rsid w:val="0076143E"/>
    <w:rsid w:val="0076510B"/>
    <w:rsid w:val="00765281"/>
    <w:rsid w:val="0076587D"/>
    <w:rsid w:val="00765C5F"/>
    <w:rsid w:val="00766BAD"/>
    <w:rsid w:val="00770394"/>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5D9E"/>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220A"/>
    <w:rsid w:val="007B24EA"/>
    <w:rsid w:val="007B3704"/>
    <w:rsid w:val="007B3D2D"/>
    <w:rsid w:val="007B4E6C"/>
    <w:rsid w:val="007B50AE"/>
    <w:rsid w:val="007B51DF"/>
    <w:rsid w:val="007B7454"/>
    <w:rsid w:val="007B79C3"/>
    <w:rsid w:val="007C05DD"/>
    <w:rsid w:val="007C1FA8"/>
    <w:rsid w:val="007C3D18"/>
    <w:rsid w:val="007C60BF"/>
    <w:rsid w:val="007C63F0"/>
    <w:rsid w:val="007C67B9"/>
    <w:rsid w:val="007C6A07"/>
    <w:rsid w:val="007C6BC6"/>
    <w:rsid w:val="007C75A1"/>
    <w:rsid w:val="007C77A5"/>
    <w:rsid w:val="007C795F"/>
    <w:rsid w:val="007D0416"/>
    <w:rsid w:val="007D04E5"/>
    <w:rsid w:val="007D078F"/>
    <w:rsid w:val="007D3DDC"/>
    <w:rsid w:val="007D4EE1"/>
    <w:rsid w:val="007D5810"/>
    <w:rsid w:val="007D5901"/>
    <w:rsid w:val="007D5CF0"/>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64E0"/>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2E5F"/>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5F56"/>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0FFC"/>
    <w:rsid w:val="00931BD9"/>
    <w:rsid w:val="00932F09"/>
    <w:rsid w:val="009334A3"/>
    <w:rsid w:val="00933745"/>
    <w:rsid w:val="00934DE2"/>
    <w:rsid w:val="009368F3"/>
    <w:rsid w:val="00936AD6"/>
    <w:rsid w:val="00937E92"/>
    <w:rsid w:val="00940C82"/>
    <w:rsid w:val="00941636"/>
    <w:rsid w:val="00943742"/>
    <w:rsid w:val="00945C05"/>
    <w:rsid w:val="00946945"/>
    <w:rsid w:val="00947499"/>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5196"/>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C0D"/>
    <w:rsid w:val="009B7E87"/>
    <w:rsid w:val="009C0169"/>
    <w:rsid w:val="009C0ABA"/>
    <w:rsid w:val="009C2AD8"/>
    <w:rsid w:val="009C403E"/>
    <w:rsid w:val="009C53B9"/>
    <w:rsid w:val="009C5436"/>
    <w:rsid w:val="009C5C61"/>
    <w:rsid w:val="009D0394"/>
    <w:rsid w:val="009D0AAF"/>
    <w:rsid w:val="009D4CA3"/>
    <w:rsid w:val="009D4FF0"/>
    <w:rsid w:val="009D703C"/>
    <w:rsid w:val="009D718F"/>
    <w:rsid w:val="009E068F"/>
    <w:rsid w:val="009E14E0"/>
    <w:rsid w:val="009E35DB"/>
    <w:rsid w:val="009E3DDD"/>
    <w:rsid w:val="009E47A3"/>
    <w:rsid w:val="009E5033"/>
    <w:rsid w:val="009E535A"/>
    <w:rsid w:val="009E621B"/>
    <w:rsid w:val="009E71EE"/>
    <w:rsid w:val="009E737F"/>
    <w:rsid w:val="009F06A5"/>
    <w:rsid w:val="009F08F3"/>
    <w:rsid w:val="009F0BD5"/>
    <w:rsid w:val="009F1C18"/>
    <w:rsid w:val="009F23D7"/>
    <w:rsid w:val="009F344F"/>
    <w:rsid w:val="009F3CCA"/>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69BA"/>
    <w:rsid w:val="00A17E88"/>
    <w:rsid w:val="00A17F63"/>
    <w:rsid w:val="00A2012F"/>
    <w:rsid w:val="00A2193B"/>
    <w:rsid w:val="00A2268A"/>
    <w:rsid w:val="00A229ED"/>
    <w:rsid w:val="00A2351A"/>
    <w:rsid w:val="00A23749"/>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688"/>
    <w:rsid w:val="00A45B74"/>
    <w:rsid w:val="00A50419"/>
    <w:rsid w:val="00A5260F"/>
    <w:rsid w:val="00A529F5"/>
    <w:rsid w:val="00A52E1D"/>
    <w:rsid w:val="00A5343C"/>
    <w:rsid w:val="00A54296"/>
    <w:rsid w:val="00A545B6"/>
    <w:rsid w:val="00A61499"/>
    <w:rsid w:val="00A6200A"/>
    <w:rsid w:val="00A628ED"/>
    <w:rsid w:val="00A62A77"/>
    <w:rsid w:val="00A62C0F"/>
    <w:rsid w:val="00A6320E"/>
    <w:rsid w:val="00A63483"/>
    <w:rsid w:val="00A657D7"/>
    <w:rsid w:val="00A65895"/>
    <w:rsid w:val="00A660AC"/>
    <w:rsid w:val="00A66B6D"/>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37CA"/>
    <w:rsid w:val="00AA5185"/>
    <w:rsid w:val="00AA51D6"/>
    <w:rsid w:val="00AA6355"/>
    <w:rsid w:val="00AA7AD6"/>
    <w:rsid w:val="00AB05FA"/>
    <w:rsid w:val="00AB0BC8"/>
    <w:rsid w:val="00AB11CA"/>
    <w:rsid w:val="00AB14D9"/>
    <w:rsid w:val="00AB21C0"/>
    <w:rsid w:val="00AB4AB8"/>
    <w:rsid w:val="00AB4B6E"/>
    <w:rsid w:val="00AB4D8E"/>
    <w:rsid w:val="00AB655E"/>
    <w:rsid w:val="00AB7064"/>
    <w:rsid w:val="00AB7BC8"/>
    <w:rsid w:val="00AC007F"/>
    <w:rsid w:val="00AC1434"/>
    <w:rsid w:val="00AC1FF0"/>
    <w:rsid w:val="00AC2546"/>
    <w:rsid w:val="00AC2ECD"/>
    <w:rsid w:val="00AC3119"/>
    <w:rsid w:val="00AC4319"/>
    <w:rsid w:val="00AC49FB"/>
    <w:rsid w:val="00AC5A10"/>
    <w:rsid w:val="00AC69F7"/>
    <w:rsid w:val="00AC6B33"/>
    <w:rsid w:val="00AC6E38"/>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122F"/>
    <w:rsid w:val="00B32AEF"/>
    <w:rsid w:val="00B33DB0"/>
    <w:rsid w:val="00B341D5"/>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0FF"/>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1768"/>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19B"/>
    <w:rsid w:val="00BE2FA6"/>
    <w:rsid w:val="00BE333F"/>
    <w:rsid w:val="00BE42E9"/>
    <w:rsid w:val="00BE7204"/>
    <w:rsid w:val="00BE7406"/>
    <w:rsid w:val="00BE7603"/>
    <w:rsid w:val="00BE7771"/>
    <w:rsid w:val="00BF03E8"/>
    <w:rsid w:val="00BF3279"/>
    <w:rsid w:val="00BF42D5"/>
    <w:rsid w:val="00BF5631"/>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1FFF"/>
    <w:rsid w:val="00C25467"/>
    <w:rsid w:val="00C265BE"/>
    <w:rsid w:val="00C26A52"/>
    <w:rsid w:val="00C279B5"/>
    <w:rsid w:val="00C27C45"/>
    <w:rsid w:val="00C32FC3"/>
    <w:rsid w:val="00C347E3"/>
    <w:rsid w:val="00C353C6"/>
    <w:rsid w:val="00C3719D"/>
    <w:rsid w:val="00C37CB2"/>
    <w:rsid w:val="00C4316F"/>
    <w:rsid w:val="00C473A5"/>
    <w:rsid w:val="00C475CE"/>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5FB"/>
    <w:rsid w:val="00C7492F"/>
    <w:rsid w:val="00C75D2F"/>
    <w:rsid w:val="00C767BE"/>
    <w:rsid w:val="00C76E3C"/>
    <w:rsid w:val="00C80E7F"/>
    <w:rsid w:val="00C8133E"/>
    <w:rsid w:val="00C81568"/>
    <w:rsid w:val="00C822FF"/>
    <w:rsid w:val="00C82CCF"/>
    <w:rsid w:val="00C836D8"/>
    <w:rsid w:val="00C85DA0"/>
    <w:rsid w:val="00C9027A"/>
    <w:rsid w:val="00C9068E"/>
    <w:rsid w:val="00C92724"/>
    <w:rsid w:val="00C93814"/>
    <w:rsid w:val="00C93C4B"/>
    <w:rsid w:val="00C9449D"/>
    <w:rsid w:val="00C944AB"/>
    <w:rsid w:val="00C95B40"/>
    <w:rsid w:val="00C97EBF"/>
    <w:rsid w:val="00CA0D3A"/>
    <w:rsid w:val="00CA0E56"/>
    <w:rsid w:val="00CA1ED8"/>
    <w:rsid w:val="00CA29D3"/>
    <w:rsid w:val="00CA4D57"/>
    <w:rsid w:val="00CA7542"/>
    <w:rsid w:val="00CA779C"/>
    <w:rsid w:val="00CB1205"/>
    <w:rsid w:val="00CB1F63"/>
    <w:rsid w:val="00CB3AFC"/>
    <w:rsid w:val="00CB7170"/>
    <w:rsid w:val="00CC040E"/>
    <w:rsid w:val="00CC111F"/>
    <w:rsid w:val="00CC2011"/>
    <w:rsid w:val="00CC2CC0"/>
    <w:rsid w:val="00CC3EA0"/>
    <w:rsid w:val="00CC7B45"/>
    <w:rsid w:val="00CD0448"/>
    <w:rsid w:val="00CD098A"/>
    <w:rsid w:val="00CD1188"/>
    <w:rsid w:val="00CD24CA"/>
    <w:rsid w:val="00CD2ED1"/>
    <w:rsid w:val="00CD337B"/>
    <w:rsid w:val="00CD3851"/>
    <w:rsid w:val="00CD6600"/>
    <w:rsid w:val="00CE0424"/>
    <w:rsid w:val="00CE0BF7"/>
    <w:rsid w:val="00CE28CA"/>
    <w:rsid w:val="00CE45CD"/>
    <w:rsid w:val="00CE50CF"/>
    <w:rsid w:val="00CE5131"/>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25B53"/>
    <w:rsid w:val="00D26C93"/>
    <w:rsid w:val="00D308C9"/>
    <w:rsid w:val="00D30C9B"/>
    <w:rsid w:val="00D32DE6"/>
    <w:rsid w:val="00D3341B"/>
    <w:rsid w:val="00D36E71"/>
    <w:rsid w:val="00D37D87"/>
    <w:rsid w:val="00D40B33"/>
    <w:rsid w:val="00D4318F"/>
    <w:rsid w:val="00D4366D"/>
    <w:rsid w:val="00D438BF"/>
    <w:rsid w:val="00D43BE3"/>
    <w:rsid w:val="00D43C2A"/>
    <w:rsid w:val="00D43F6F"/>
    <w:rsid w:val="00D440F8"/>
    <w:rsid w:val="00D44342"/>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5E"/>
    <w:rsid w:val="00DA56E8"/>
    <w:rsid w:val="00DA76A8"/>
    <w:rsid w:val="00DA7BF0"/>
    <w:rsid w:val="00DB0743"/>
    <w:rsid w:val="00DB0A9F"/>
    <w:rsid w:val="00DB14C1"/>
    <w:rsid w:val="00DB3592"/>
    <w:rsid w:val="00DB3720"/>
    <w:rsid w:val="00DB377D"/>
    <w:rsid w:val="00DB75C3"/>
    <w:rsid w:val="00DB77A9"/>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7AF"/>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A7B"/>
    <w:rsid w:val="00E53B75"/>
    <w:rsid w:val="00E54E3B"/>
    <w:rsid w:val="00E5545B"/>
    <w:rsid w:val="00E57565"/>
    <w:rsid w:val="00E620DB"/>
    <w:rsid w:val="00E630E7"/>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2CB4"/>
    <w:rsid w:val="00E83AA9"/>
    <w:rsid w:val="00E84404"/>
    <w:rsid w:val="00E855C7"/>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968A4"/>
    <w:rsid w:val="00EA1229"/>
    <w:rsid w:val="00EA132A"/>
    <w:rsid w:val="00EA2877"/>
    <w:rsid w:val="00EA37DB"/>
    <w:rsid w:val="00EA7A41"/>
    <w:rsid w:val="00EB077B"/>
    <w:rsid w:val="00EB097F"/>
    <w:rsid w:val="00EB4EA2"/>
    <w:rsid w:val="00EB56EF"/>
    <w:rsid w:val="00EB6591"/>
    <w:rsid w:val="00EB6D87"/>
    <w:rsid w:val="00EB7619"/>
    <w:rsid w:val="00EB7AC2"/>
    <w:rsid w:val="00EC094D"/>
    <w:rsid w:val="00EC0AD6"/>
    <w:rsid w:val="00EC24D5"/>
    <w:rsid w:val="00EC27C6"/>
    <w:rsid w:val="00EC2BA2"/>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61A"/>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807"/>
    <w:rsid w:val="00F06AF1"/>
    <w:rsid w:val="00F06C67"/>
    <w:rsid w:val="00F06DFD"/>
    <w:rsid w:val="00F06EEA"/>
    <w:rsid w:val="00F071D1"/>
    <w:rsid w:val="00F07533"/>
    <w:rsid w:val="00F10629"/>
    <w:rsid w:val="00F11E6E"/>
    <w:rsid w:val="00F1316D"/>
    <w:rsid w:val="00F157F2"/>
    <w:rsid w:val="00F15FA5"/>
    <w:rsid w:val="00F209B7"/>
    <w:rsid w:val="00F20B90"/>
    <w:rsid w:val="00F22355"/>
    <w:rsid w:val="00F22D7D"/>
    <w:rsid w:val="00F2376F"/>
    <w:rsid w:val="00F23853"/>
    <w:rsid w:val="00F23D51"/>
    <w:rsid w:val="00F243D8"/>
    <w:rsid w:val="00F256D6"/>
    <w:rsid w:val="00F30828"/>
    <w:rsid w:val="00F313D6"/>
    <w:rsid w:val="00F3221A"/>
    <w:rsid w:val="00F332F1"/>
    <w:rsid w:val="00F337AD"/>
    <w:rsid w:val="00F35A59"/>
    <w:rsid w:val="00F376AE"/>
    <w:rsid w:val="00F402C7"/>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3F9"/>
    <w:rsid w:val="00F67F53"/>
    <w:rsid w:val="00F703BE"/>
    <w:rsid w:val="00F71F69"/>
    <w:rsid w:val="00F725CF"/>
    <w:rsid w:val="00F72B72"/>
    <w:rsid w:val="00F7378F"/>
    <w:rsid w:val="00F74BB9"/>
    <w:rsid w:val="00F75582"/>
    <w:rsid w:val="00F76700"/>
    <w:rsid w:val="00F76EFA"/>
    <w:rsid w:val="00F775CC"/>
    <w:rsid w:val="00F804BE"/>
    <w:rsid w:val="00F80884"/>
    <w:rsid w:val="00F817CE"/>
    <w:rsid w:val="00F827EB"/>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9C5"/>
    <w:rsid w:val="00FA2BB3"/>
    <w:rsid w:val="00FA2DA3"/>
    <w:rsid w:val="00FA388F"/>
    <w:rsid w:val="00FA51F7"/>
    <w:rsid w:val="00FA77A3"/>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5DF"/>
    <w:rsid w:val="00FD5815"/>
    <w:rsid w:val="00FD6974"/>
    <w:rsid w:val="00FD74DB"/>
    <w:rsid w:val="00FD7660"/>
    <w:rsid w:val="00FE0655"/>
    <w:rsid w:val="00FE0B70"/>
    <w:rsid w:val="00FE1E9D"/>
    <w:rsid w:val="00FE2365"/>
    <w:rsid w:val="00FE2F64"/>
    <w:rsid w:val="00FE37D7"/>
    <w:rsid w:val="00FE491E"/>
    <w:rsid w:val="00FE4976"/>
    <w:rsid w:val="00FE4C7B"/>
    <w:rsid w:val="00FE7336"/>
    <w:rsid w:val="00FE787C"/>
    <w:rsid w:val="00FF16C0"/>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9C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29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9C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paragraph" w:customStyle="1" w:styleId="Prop1">
    <w:name w:val="Prop1"/>
    <w:basedOn w:val="ListParagraph"/>
    <w:uiPriority w:val="99"/>
    <w:qFormat/>
    <w:rsid w:val="00B341D5"/>
    <w:pPr>
      <w:spacing w:after="0" w:line="240" w:lineRule="auto"/>
      <w:ind w:left="0"/>
    </w:pPr>
    <w:rPr>
      <w:rFonts w:ascii="Times New Roman" w:eastAsia="SimSun" w:hAnsi="Times New Roman" w:cs="Times"/>
      <w:b/>
      <w:szCs w:val="21"/>
      <w:lang w:val="en-US" w:eastAsia="zh-CN"/>
    </w:rPr>
  </w:style>
  <w:style w:type="character" w:customStyle="1" w:styleId="ObservationCar">
    <w:name w:val="Observation Car"/>
    <w:basedOn w:val="DefaultParagraphFont"/>
    <w:link w:val="Observation"/>
    <w:qFormat/>
    <w:rsid w:val="000550B0"/>
    <w:rPr>
      <w:rFonts w:ascii="Arial" w:eastAsiaTheme="minorHAnsi" w:hAnsi="Arial" w:cstheme="minorBidi"/>
      <w:b/>
      <w:bCs/>
      <w:sz w:val="22"/>
      <w:szCs w:val="22"/>
      <w:lang w:val="sv-SE" w:eastAsia="ja-JP"/>
    </w:rPr>
  </w:style>
  <w:style w:type="character" w:styleId="UnresolvedMention">
    <w:name w:val="Unresolved Mention"/>
    <w:basedOn w:val="DefaultParagraphFont"/>
    <w:uiPriority w:val="99"/>
    <w:semiHidden/>
    <w:unhideWhenUsed/>
    <w:rsid w:val="000550B0"/>
    <w:rPr>
      <w:color w:val="605E5C"/>
      <w:shd w:val="clear" w:color="auto" w:fill="E1DFDD"/>
    </w:rPr>
  </w:style>
  <w:style w:type="character" w:customStyle="1" w:styleId="0MaintextChar">
    <w:name w:val="0 Main text Char"/>
    <w:basedOn w:val="DefaultParagraphFont"/>
    <w:link w:val="0Maintext"/>
    <w:qFormat/>
    <w:locked/>
    <w:rsid w:val="001614F9"/>
    <w:rPr>
      <w:rFonts w:ascii="Malgun Gothic" w:eastAsia="Malgun Gothic" w:hAnsi="Malgun Gothic" w:cs="Batang"/>
      <w:lang w:eastAsia="en-US"/>
    </w:rPr>
  </w:style>
  <w:style w:type="paragraph" w:customStyle="1" w:styleId="0Maintext">
    <w:name w:val="0 Main text"/>
    <w:basedOn w:val="Normal"/>
    <w:link w:val="0MaintextChar"/>
    <w:qFormat/>
    <w:rsid w:val="001614F9"/>
    <w:pPr>
      <w:spacing w:after="100" w:afterAutospacing="1" w:line="288" w:lineRule="auto"/>
      <w:ind w:firstLine="360"/>
      <w:jc w:val="both"/>
    </w:pPr>
    <w:rPr>
      <w:rFonts w:ascii="Malgun Gothic" w:eastAsia="Malgun Gothic" w:hAnsi="Malgun Gothic" w:cs="Batang"/>
      <w:sz w:val="20"/>
      <w:szCs w:val="20"/>
      <w:lang w:val="en-GB"/>
    </w:rPr>
  </w:style>
  <w:style w:type="character" w:customStyle="1" w:styleId="TANChar">
    <w:name w:val="TAN Char"/>
    <w:link w:val="TAN"/>
    <w:qFormat/>
    <w:locked/>
    <w:rsid w:val="00227B4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759790994">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22560698">
      <w:bodyDiv w:val="1"/>
      <w:marLeft w:val="0"/>
      <w:marRight w:val="0"/>
      <w:marTop w:val="0"/>
      <w:marBottom w:val="0"/>
      <w:divBdr>
        <w:top w:val="none" w:sz="0" w:space="0" w:color="auto"/>
        <w:left w:val="none" w:sz="0" w:space="0" w:color="auto"/>
        <w:bottom w:val="none" w:sz="0" w:space="0" w:color="auto"/>
        <w:right w:val="none" w:sz="0" w:space="0" w:color="auto"/>
      </w:divBdr>
      <w:divsChild>
        <w:div w:id="218129191">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4.xml><?xml version="1.0" encoding="utf-8"?>
<ds:datastoreItem xmlns:ds="http://schemas.openxmlformats.org/officeDocument/2006/customXml" ds:itemID="{D81D945C-CCAA-4980-949C-D6E23176D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3629</TotalTime>
  <Pages>3</Pages>
  <Words>871</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Conclusion</vt:lpstr>
      <vt:lpstr>References</vt:lpstr>
    </vt:vector>
  </TitlesOfParts>
  <Company/>
  <LinksUpToDate>false</LinksUpToDate>
  <CharactersWithSpaces>6237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420</cp:revision>
  <dcterms:created xsi:type="dcterms:W3CDTF">2019-05-04T12:01:00Z</dcterms:created>
  <dcterms:modified xsi:type="dcterms:W3CDTF">2022-04-25T12:30:00Z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